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bookmarkStart w:id="0" w:name="_GoBack"/>
      <w:bookmarkEnd w:id="0"/>
      <w:r>
        <w:rPr>
          <w:rFonts w:hint="eastAsia"/>
          <w:b/>
          <w:sz w:val="28"/>
          <w:szCs w:val="28"/>
        </w:rPr>
        <w:t>Information Paper on</w:t>
      </w:r>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w:t>
      </w:r>
      <w:r w:rsidR="00D51DD6">
        <w:t xml:space="preserve">the </w:t>
      </w:r>
      <w:r w:rsidR="004C26FA">
        <w:rPr>
          <w:rFonts w:hint="eastAsia"/>
        </w:rPr>
        <w:t xml:space="preserve">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5307E3">
        <w:t xml:space="preserve">being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w:t>
      </w:r>
      <w:r w:rsidR="00D51DD6">
        <w:t xml:space="preserve">the </w:t>
      </w:r>
      <w:r w:rsidR="004D3749">
        <w:rPr>
          <w:rFonts w:hint="eastAsia"/>
        </w:rPr>
        <w:t xml:space="preserve">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w:t>
      </w:r>
      <w:r w:rsidR="00A50CAB">
        <w:t xml:space="preserve">the </w:t>
      </w:r>
      <w:r w:rsidR="00340C68">
        <w:rPr>
          <w:rFonts w:hint="eastAsia"/>
        </w:rPr>
        <w:t>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 xml:space="preserve">However, because of its effective and useful technology, the use of AIS </w:t>
      </w:r>
      <w:r w:rsidR="00D51DD6">
        <w:t>has</w:t>
      </w:r>
      <w:r w:rsidR="00CD0B6D">
        <w:rPr>
          <w:rFonts w:hint="eastAsia"/>
        </w:rPr>
        <w:t xml:space="preserve"> expanded to vessel</w:t>
      </w:r>
      <w:r w:rsidR="00487799">
        <w:rPr>
          <w:rFonts w:hint="eastAsia"/>
        </w:rPr>
        <w:t xml:space="preserve">s not </w:t>
      </w:r>
      <w:r w:rsidR="00047671">
        <w:t>compliant</w:t>
      </w:r>
      <w:r w:rsidR="00047671">
        <w:rPr>
          <w:rFonts w:hint="eastAsia"/>
        </w:rPr>
        <w:t xml:space="preserve"> </w:t>
      </w:r>
      <w:r w:rsidR="00487799">
        <w:rPr>
          <w:rFonts w:hint="eastAsia"/>
        </w:rPr>
        <w:t>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D51DD6">
        <w:t xml:space="preserve">a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w:t>
      </w:r>
      <w:r w:rsidR="00D51DD6">
        <w:t xml:space="preserve">the </w:t>
      </w:r>
      <w:r>
        <w:rPr>
          <w:rFonts w:hint="eastAsia"/>
        </w:rPr>
        <w:t xml:space="preserve">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 xml:space="preserve">AIS and will become </w:t>
      </w:r>
      <w:r w:rsidR="00A50CAB">
        <w:t xml:space="preserve">a </w:t>
      </w:r>
      <w:r>
        <w:rPr>
          <w:rFonts w:hint="eastAsia"/>
        </w:rPr>
        <w:t>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 xml:space="preserve">VDES will allow more efficient and </w:t>
      </w:r>
      <w:r w:rsidRPr="002A29EB">
        <w:rPr>
          <w:rFonts w:hint="eastAsia"/>
        </w:rPr>
        <w:lastRenderedPageBreak/>
        <w:t xml:space="preserve">effective use of </w:t>
      </w:r>
      <w:r w:rsidR="00D51DD6">
        <w:t xml:space="preserve">the </w:t>
      </w:r>
      <w:r w:rsidRPr="002A29EB">
        <w:rPr>
          <w:rFonts w:hint="eastAsia"/>
        </w:rPr>
        <w:t>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radiocommunication</w:t>
      </w:r>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xml:space="preserve">, if the VDL loading exceeds 50%, it may have an impact on </w:t>
      </w:r>
      <w:r w:rsidR="00684C09">
        <w:t xml:space="preserve">the </w:t>
      </w:r>
      <w:r w:rsidR="00ED691A">
        <w:rPr>
          <w:rFonts w:hint="eastAsia"/>
        </w:rPr>
        <w:t>smooth transmission of AIS station</w:t>
      </w:r>
      <w:r w:rsidR="00A50CAB">
        <w:t>s</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VDL loading </w:t>
      </w:r>
      <w:r w:rsidR="00A50CAB">
        <w:t>had</w:t>
      </w:r>
      <w:r w:rsidR="00A50CAB">
        <w:rPr>
          <w:rFonts w:hint="eastAsia"/>
        </w:rPr>
        <w:t xml:space="preserve"> </w:t>
      </w:r>
      <w:r w:rsidR="009669AC">
        <w:rPr>
          <w:rFonts w:hint="eastAsia"/>
        </w:rPr>
        <w:t xml:space="preserve">already exceeded 64% in the Northern Gulf of Mexico, USA, and </w:t>
      </w:r>
      <w:r w:rsidR="00A50CAB">
        <w:t>had</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w:t>
      </w:r>
      <w:r w:rsidR="00684C09">
        <w:t xml:space="preserve">the </w:t>
      </w:r>
      <w:r w:rsidR="00E759C1" w:rsidRPr="002A29EB">
        <w:rPr>
          <w:rFonts w:hint="eastAsia"/>
        </w:rPr>
        <w:t>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w:t>
      </w:r>
      <w:r w:rsidR="00A50CAB">
        <w:t xml:space="preserve">the </w:t>
      </w:r>
      <w:r w:rsidR="00653567" w:rsidRPr="002A29EB">
        <w:rPr>
          <w:rFonts w:hint="eastAsia"/>
        </w:rPr>
        <w:t xml:space="preserve">core </w:t>
      </w:r>
      <w:r>
        <w:rPr>
          <w:rFonts w:hint="eastAsia"/>
        </w:rPr>
        <w:t xml:space="preserve">facilitating </w:t>
      </w:r>
      <w:r w:rsidR="00653567" w:rsidRPr="002A29EB">
        <w:rPr>
          <w:rFonts w:hint="eastAsia"/>
        </w:rPr>
        <w:t xml:space="preserve">elements for both </w:t>
      </w:r>
      <w:r w:rsidR="00684C09">
        <w:t xml:space="preserve">the </w:t>
      </w:r>
      <w:r w:rsidR="00653567" w:rsidRPr="002A29EB">
        <w:rPr>
          <w:rFonts w:hint="eastAsia"/>
        </w:rPr>
        <w:t>implementation of e-navigation and</w:t>
      </w:r>
      <w:r w:rsidR="00684C09">
        <w:t xml:space="preserve"> the</w:t>
      </w:r>
      <w:r w:rsidR="00653567" w:rsidRPr="002A29EB">
        <w:rPr>
          <w:rFonts w:hint="eastAsia"/>
        </w:rPr>
        <w:t xml:space="preserve">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w:t>
      </w:r>
      <w:proofErr w:type="gramStart"/>
      <w:r>
        <w:rPr>
          <w:rFonts w:hint="eastAsia"/>
        </w:rPr>
        <w:t>on  IALA</w:t>
      </w:r>
      <w:proofErr w:type="gramEnd"/>
      <w:r>
        <w:rPr>
          <w:rFonts w:hint="eastAsia"/>
        </w:rPr>
        <w:t xml:space="preserve">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w:t>
      </w:r>
      <w:r>
        <w:rPr>
          <w:rFonts w:hint="eastAsia"/>
        </w:rPr>
        <w:lastRenderedPageBreak/>
        <w:t xml:space="preserve">liaison with IMO and IALA members to promote this opportunity for introducing VDES.  IALA is expected to </w:t>
      </w:r>
      <w:r>
        <w:t>contribute</w:t>
      </w:r>
      <w:r>
        <w:rPr>
          <w:rFonts w:hint="eastAsia"/>
        </w:rPr>
        <w:t xml:space="preserve"> to the ITU-R WP.5B meeting of May </w:t>
      </w:r>
      <w:proofErr w:type="gramStart"/>
      <w:r>
        <w:rPr>
          <w:rFonts w:hint="eastAsia"/>
        </w:rPr>
        <w:t>2014,</w:t>
      </w:r>
      <w:proofErr w:type="gramEnd"/>
      <w:r>
        <w:rPr>
          <w:rFonts w:hint="eastAsia"/>
        </w:rPr>
        <w:t xml:space="preserve"> however the 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w:t>
      </w:r>
      <w:r w:rsidR="00D51DD6">
        <w:t xml:space="preserve">the </w:t>
      </w:r>
      <w:r>
        <w:rPr>
          <w:rFonts w:hint="eastAsia"/>
        </w:rPr>
        <w:t>AIS main function of safety of navigation.  Thereby</w:t>
      </w:r>
      <w:r w:rsidR="005307E3">
        <w:t>, AIS</w:t>
      </w:r>
      <w:r>
        <w:rPr>
          <w:rFonts w:hint="eastAsia"/>
        </w:rPr>
        <w:t xml:space="preserve">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t>
      </w:r>
      <w:r w:rsidR="005307E3">
        <w:t>could</w:t>
      </w:r>
      <w:r>
        <w:rPr>
          <w:rFonts w:hint="eastAsia"/>
        </w:rPr>
        <w:t xml:space="preserve"> </w:t>
      </w:r>
      <w:r w:rsidR="005307E3">
        <w:t>consider using</w:t>
      </w:r>
      <w:r>
        <w:rPr>
          <w:rFonts w:hint="eastAsia"/>
        </w:rPr>
        <w:t xml:space="preserve"> the new frequencies, ASM 1&amp; 2 and IALA </w:t>
      </w:r>
      <w:r w:rsidR="005307E3">
        <w:t>could</w:t>
      </w:r>
      <w:r>
        <w:rPr>
          <w:rFonts w:hint="eastAsia"/>
        </w:rPr>
        <w:t xml:space="preserve">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w:t>
      </w:r>
      <w:r w:rsidR="00684C09">
        <w:t xml:space="preserve">the </w:t>
      </w:r>
      <w:r>
        <w:rPr>
          <w:rFonts w:hint="eastAsia"/>
        </w:rPr>
        <w:t xml:space="preserve">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w:t>
      </w:r>
      <w:r w:rsidR="00684C09">
        <w:t>s</w:t>
      </w:r>
      <w:r>
        <w:rPr>
          <w:rFonts w:hint="eastAsia"/>
        </w:rPr>
        <w:t xml:space="preserve"> and mariners.  AtoN authorities will be able to develop various applications for </w:t>
      </w:r>
      <w:r>
        <w:t>their</w:t>
      </w:r>
      <w:r>
        <w:rPr>
          <w:rFonts w:hint="eastAsia"/>
        </w:rPr>
        <w:t xml:space="preserve"> use and make advanced services </w:t>
      </w:r>
      <w:r>
        <w:t>available</w:t>
      </w:r>
      <w:r>
        <w:rPr>
          <w:rFonts w:hint="eastAsia"/>
        </w:rPr>
        <w:t xml:space="preserve"> to ship</w:t>
      </w:r>
      <w:r w:rsidR="00684C09">
        <w:t>s</w:t>
      </w:r>
      <w:r>
        <w:rPr>
          <w:rFonts w:hint="eastAsia"/>
        </w:rPr>
        <w:t xml:space="preserve"> using VDES.  IALA </w:t>
      </w:r>
      <w:r w:rsidR="005307E3">
        <w:t>could</w:t>
      </w:r>
      <w:r>
        <w:rPr>
          <w:rFonts w:hint="eastAsia"/>
        </w:rPr>
        <w:t xml:space="preserve">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w:t>
      </w:r>
      <w:r w:rsidR="00684C09">
        <w:t xml:space="preserve">the </w:t>
      </w:r>
      <w:r>
        <w:rPr>
          <w:rFonts w:hint="eastAsia"/>
        </w:rPr>
        <w:t>multitude of international and regional ASM</w:t>
      </w:r>
      <w:r w:rsidR="00684C09">
        <w:t>s</w:t>
      </w:r>
      <w:r>
        <w:rPr>
          <w:rFonts w:hint="eastAsia"/>
        </w:rPr>
        <w:t xml:space="preserve">, were rapidly and easily developed, generating a risk of overloading of </w:t>
      </w:r>
      <w:r w:rsidR="00684C09">
        <w:t xml:space="preserve">the </w:t>
      </w:r>
      <w:r>
        <w:rPr>
          <w:rFonts w:hint="eastAsia"/>
        </w:rPr>
        <w:t>AIS VDL, new VDES applications will be developed easily and rapidly</w:t>
      </w:r>
      <w:r w:rsidR="00684C09">
        <w:t>,</w:t>
      </w:r>
      <w:r>
        <w:rPr>
          <w:rFonts w:hint="eastAsia"/>
        </w:rPr>
        <w:t xml:space="preserve"> not only by AtoN authorities</w:t>
      </w:r>
      <w:r w:rsidR="00684C09">
        <w:t>,</w:t>
      </w:r>
      <w:r>
        <w:rPr>
          <w:rFonts w:hint="eastAsia"/>
        </w:rPr>
        <w:t xml:space="preserve"> but also </w:t>
      </w:r>
      <w:r w:rsidR="00684C09">
        <w:t xml:space="preserve">by </w:t>
      </w:r>
      <w:r>
        <w:rPr>
          <w:rFonts w:hint="eastAsia"/>
        </w:rPr>
        <w:t xml:space="preserve">other actors.  There is a risk that such rapid expansion of VDES applications could cause confusion in the maritime </w:t>
      </w:r>
      <w:r>
        <w:t>society</w:t>
      </w:r>
      <w:r>
        <w:rPr>
          <w:rFonts w:hint="eastAsia"/>
        </w:rPr>
        <w:t xml:space="preserve"> and the data links </w:t>
      </w:r>
      <w:r w:rsidR="00684C09">
        <w:t xml:space="preserve">would </w:t>
      </w:r>
      <w:r>
        <w:rPr>
          <w:rFonts w:hint="eastAsia"/>
        </w:rPr>
        <w:t xml:space="preserve">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sidR="00684C09">
        <w:t>;</w:t>
      </w:r>
      <w:r>
        <w:rPr>
          <w:rFonts w:hint="eastAsia"/>
        </w:rPr>
        <w:t xml:space="preserve"> </w:t>
      </w:r>
      <w:r>
        <w:t>terrestrial</w:t>
      </w:r>
      <w:r>
        <w:rPr>
          <w:rFonts w:hint="eastAsia"/>
        </w:rPr>
        <w:t xml:space="preserve"> VDES and satellite VDES.  Some radio manufacture</w:t>
      </w:r>
      <w:r w:rsidR="005A2B8F">
        <w:t>r</w:t>
      </w:r>
      <w:r>
        <w:rPr>
          <w:rFonts w:hint="eastAsia"/>
        </w:rPr>
        <w:t xml:space="preserv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w:t>
      </w:r>
      <w:r w:rsidR="005A2B8F">
        <w:t xml:space="preserve">the </w:t>
      </w:r>
      <w:r>
        <w:rPr>
          <w:rFonts w:hint="eastAsia"/>
        </w:rPr>
        <w:t xml:space="preserve">capability of </w:t>
      </w:r>
      <w:r w:rsidR="005A2B8F">
        <w:t xml:space="preserve">the </w:t>
      </w:r>
      <w:r>
        <w:rPr>
          <w:rFonts w:hint="eastAsia"/>
        </w:rPr>
        <w:t>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w:t>
      </w:r>
      <w:proofErr w:type="spellStart"/>
      <w:r w:rsidR="005A2B8F">
        <w:lastRenderedPageBreak/>
        <w:t>the</w:t>
      </w:r>
      <w:r>
        <w:rPr>
          <w:rFonts w:hint="eastAsia"/>
        </w:rPr>
        <w:t>allocat</w:t>
      </w:r>
      <w:r w:rsidR="005A2B8F">
        <w:t>ion</w:t>
      </w:r>
      <w:proofErr w:type="spellEnd"/>
      <w:r w:rsidR="005A2B8F">
        <w:t xml:space="preserve"> of</w:t>
      </w:r>
      <w:r>
        <w:rPr>
          <w:rFonts w:hint="eastAsia"/>
        </w:rPr>
        <w:t xml:space="preserve"> new </w:t>
      </w:r>
      <w:r>
        <w:t>frequencies</w:t>
      </w:r>
      <w:r>
        <w:rPr>
          <w:rFonts w:hint="eastAsia"/>
        </w:rPr>
        <w:t xml:space="preserve"> for VDES, because of the present technical development and urgency of protection of AIS VDL, terrestrial VDES could be implemented first, even before satellite assets are available.  At the present moment, the </w:t>
      </w:r>
      <w:r>
        <w:t>satellite</w:t>
      </w:r>
      <w:r>
        <w:rPr>
          <w:rFonts w:hint="eastAsia"/>
        </w:rPr>
        <w:t xml:space="preserve"> VDES studies, for 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w:t>
      </w:r>
      <w:r w:rsidR="00047671">
        <w:t xml:space="preserve">1 </w:t>
      </w:r>
      <w:r>
        <w:rPr>
          <w:rFonts w:hint="eastAsia"/>
        </w:rPr>
        <w:t>provides a possible roadmap for VDES.</w:t>
      </w:r>
    </w:p>
    <w:p w:rsidR="00E06C50" w:rsidRDefault="00E06C50" w:rsidP="00E06C50">
      <w:r>
        <w:rPr>
          <w:noProof/>
          <w:lang w:val="en-IE" w:eastAsia="en-IE"/>
        </w:rPr>
        <w:drawing>
          <wp:inline distT="0" distB="0" distL="0" distR="0" wp14:anchorId="526FA9D5" wp14:editId="20D3439F">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047671" w:rsidP="00E06C50">
      <w:pPr>
        <w:jc w:val="center"/>
        <w:rPr>
          <w:b/>
        </w:rPr>
      </w:pPr>
      <w:r>
        <w:rPr>
          <w:rFonts w:hint="eastAsia"/>
          <w:b/>
        </w:rPr>
        <w:t xml:space="preserve">Figure </w:t>
      </w:r>
      <w:r>
        <w:rPr>
          <w:b/>
        </w:rPr>
        <w:t>1</w:t>
      </w:r>
      <w:r w:rsidR="00E06C50">
        <w:rPr>
          <w:rFonts w:hint="eastAsia"/>
          <w:b/>
        </w:rPr>
        <w:t>: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0"/>
        <w:gridCol w:w="2817"/>
        <w:gridCol w:w="2542"/>
        <w:gridCol w:w="106"/>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3"/>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gridAfter w:val="1"/>
          <w:wAfter w:w="108" w:type="dxa"/>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w:t>
            </w:r>
            <w:proofErr w:type="spellStart"/>
            <w:r w:rsidRPr="00A90BCA">
              <w:rPr>
                <w:rFonts w:ascii="Times New Roman" w:eastAsia="Times New Roman" w:hAnsi="Times New Roman"/>
                <w:b/>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gridAfter w:val="1"/>
          <w:wAfter w:w="108" w:type="dxa"/>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gridAfter w:val="1"/>
          <w:wAfter w:w="108" w:type="dxa"/>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gridAfter w:val="1"/>
          <w:wAfter w:w="108" w:type="dxa"/>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gridAfter w:val="1"/>
          <w:wAfter w:w="108" w:type="dxa"/>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roofErr w:type="spellStart"/>
            <w:r w:rsidRPr="00A90BCA">
              <w:rPr>
                <w:rFonts w:ascii="Times New Roman" w:eastAsia="Times New Roman" w:hAnsi="Times New Roman"/>
                <w:kern w:val="0"/>
                <w:szCs w:val="20"/>
                <w:lang w:val="fr-FR" w:eastAsia="en-US"/>
              </w:rPr>
              <w:t>Ship</w:t>
            </w:r>
            <w:proofErr w:type="spellEnd"/>
            <w:r w:rsidRPr="00A90BCA">
              <w:rPr>
                <w:rFonts w:ascii="Times New Roman" w:eastAsia="Times New Roman" w:hAnsi="Times New Roman"/>
                <w:kern w:val="0"/>
                <w:szCs w:val="20"/>
                <w:lang w:val="fr-FR" w:eastAsia="en-US"/>
              </w:rPr>
              <w:t xml:space="preserve">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 xml:space="preserve">Satellite to </w:t>
            </w:r>
            <w:proofErr w:type="spellStart"/>
            <w:r w:rsidRPr="00A90BCA">
              <w:rPr>
                <w:rFonts w:ascii="Times New Roman" w:eastAsia="Times New Roman" w:hAnsi="Times New Roman"/>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gridAfter w:val="1"/>
          <w:wAfter w:w="108" w:type="dxa"/>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w:t>
      </w:r>
      <w:r w:rsidR="00047671">
        <w:rPr>
          <w:rFonts w:hint="eastAsia"/>
        </w:rPr>
        <w:t xml:space="preserve">ustrated pictorially in Figure </w:t>
      </w:r>
      <w:r w:rsidR="00047671">
        <w:t>2</w:t>
      </w:r>
      <w:r>
        <w:rPr>
          <w:rFonts w:hint="eastAsia"/>
        </w:rPr>
        <w:t>.</w:t>
      </w:r>
    </w:p>
    <w:p w:rsidR="00EA5A7A" w:rsidRDefault="00B51B9D">
      <w:r w:rsidRPr="00B42A2E">
        <w:rPr>
          <w:rFonts w:eastAsiaTheme="minorEastAsia"/>
          <w:noProof/>
          <w:lang w:val="en-IE" w:eastAsia="en-IE"/>
        </w:rPr>
        <w:drawing>
          <wp:inline distT="0" distB="0" distL="0" distR="0" wp14:anchorId="63D5F7A3" wp14:editId="228A0FFE">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047671" w:rsidP="00A31CE7">
      <w:pPr>
        <w:jc w:val="center"/>
        <w:rPr>
          <w:rFonts w:cs="Arial"/>
          <w:b/>
        </w:rPr>
      </w:pPr>
      <w:r>
        <w:rPr>
          <w:rFonts w:cs="Arial" w:hint="eastAsia"/>
          <w:b/>
        </w:rPr>
        <w:t xml:space="preserve">Figure </w:t>
      </w:r>
      <w:r>
        <w:rPr>
          <w:rFonts w:cs="Arial"/>
          <w:b/>
        </w:rPr>
        <w:t>2</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4"/>
        <w:gridCol w:w="2815"/>
        <w:gridCol w:w="2540"/>
        <w:gridCol w:w="106"/>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gridAfter w:val="1"/>
          <w:wAfter w:w="108" w:type="dxa"/>
          <w:trHeight w:val="749"/>
          <w:tblHeader/>
          <w:jc w:val="center"/>
        </w:trPr>
        <w:tc>
          <w:tcPr>
            <w:tcW w:w="0" w:type="auto"/>
            <w:vMerge/>
          </w:tcPr>
          <w:p w:rsidR="00B51B9D" w:rsidRPr="00E87E32" w:rsidRDefault="00B51B9D" w:rsidP="00F45B82">
            <w:pPr>
              <w:pStyle w:val="Tablehead"/>
              <w:rPr>
                <w:lang w:val="en-US"/>
              </w:rPr>
            </w:pPr>
          </w:p>
        </w:tc>
        <w:tc>
          <w:tcPr>
            <w:tcW w:w="2841" w:type="dxa"/>
          </w:tcPr>
          <w:p w:rsidR="00B51B9D" w:rsidRPr="00E87E32" w:rsidRDefault="00B51B9D" w:rsidP="00F45B82">
            <w:pPr>
              <w:pStyle w:val="Tablehead"/>
              <w:rPr>
                <w:lang w:val="en-US"/>
              </w:rPr>
            </w:pPr>
            <w:r w:rsidRPr="00E87E32">
              <w:rPr>
                <w:lang w:val="en-US"/>
              </w:rPr>
              <w:t>Ship stations (ship-to-shore)</w:t>
            </w:r>
          </w:p>
          <w:p w:rsidR="00B51B9D" w:rsidRPr="00E87E32" w:rsidRDefault="00B51B9D" w:rsidP="00F45B82">
            <w:pPr>
              <w:pStyle w:val="Tablehead"/>
              <w:rPr>
                <w:lang w:val="en-US"/>
              </w:rPr>
            </w:pPr>
            <w:r w:rsidRPr="00E87E32">
              <w:rPr>
                <w:lang w:val="en-US"/>
              </w:rPr>
              <w:t>(long range AIS)</w:t>
            </w:r>
          </w:p>
          <w:p w:rsidR="00B51B9D" w:rsidRPr="00E87E32" w:rsidRDefault="00B51B9D" w:rsidP="00F45B82">
            <w:pPr>
              <w:pStyle w:val="Tablehead"/>
              <w:rPr>
                <w:lang w:val="en-US"/>
              </w:rPr>
            </w:pPr>
            <w:r w:rsidRPr="00E87E32">
              <w:rPr>
                <w:lang w:val="en-US"/>
              </w:rPr>
              <w:t>Ship stations (ship-to-satellite)</w:t>
            </w:r>
          </w:p>
        </w:tc>
        <w:tc>
          <w:tcPr>
            <w:tcW w:w="2562" w:type="dxa"/>
          </w:tcPr>
          <w:p w:rsidR="00B51B9D" w:rsidRPr="00E87E32" w:rsidRDefault="00B51B9D" w:rsidP="00F45B82">
            <w:pPr>
              <w:pStyle w:val="Tablehead"/>
              <w:rPr>
                <w:lang w:val="en-US"/>
              </w:rPr>
            </w:pPr>
            <w:r w:rsidRPr="00E87E32">
              <w:rPr>
                <w:lang w:val="en-US"/>
              </w:rPr>
              <w:t>Coast stations</w:t>
            </w:r>
          </w:p>
          <w:p w:rsidR="00B51B9D" w:rsidRPr="00E87E32" w:rsidRDefault="00B51B9D" w:rsidP="00F45B82">
            <w:pPr>
              <w:pStyle w:val="Tablehead"/>
              <w:rPr>
                <w:lang w:val="en-US"/>
              </w:rPr>
            </w:pPr>
            <w:r w:rsidRPr="00E87E32">
              <w:rPr>
                <w:lang w:val="en-US"/>
              </w:rPr>
              <w:t>Ship stations (ship-to-ship)</w:t>
            </w:r>
          </w:p>
          <w:p w:rsidR="00B51B9D" w:rsidRPr="00E87E32" w:rsidRDefault="00B51B9D" w:rsidP="00F45B82">
            <w:pPr>
              <w:pStyle w:val="Tablehead"/>
              <w:rPr>
                <w:caps/>
                <w:lang w:val="en-US"/>
              </w:rPr>
            </w:pPr>
            <w:r w:rsidRPr="00E87E32">
              <w:t>Satellite-to-ship</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1</w:t>
            </w:r>
          </w:p>
        </w:tc>
        <w:tc>
          <w:tcPr>
            <w:tcW w:w="2841" w:type="dxa"/>
          </w:tcPr>
          <w:p w:rsidR="00B51B9D" w:rsidRPr="00E87E32" w:rsidRDefault="00B51B9D" w:rsidP="00F45B82">
            <w:pPr>
              <w:pStyle w:val="Tabletext"/>
              <w:rPr>
                <w:lang w:val="en-US"/>
              </w:rPr>
            </w:pPr>
            <w:r w:rsidRPr="00E87E32">
              <w:t>161.975</w:t>
            </w:r>
          </w:p>
        </w:tc>
        <w:tc>
          <w:tcPr>
            <w:tcW w:w="2562" w:type="dxa"/>
          </w:tcPr>
          <w:p w:rsidR="00B51B9D" w:rsidRPr="00E87E32" w:rsidRDefault="00B51B9D" w:rsidP="00F45B82">
            <w:pPr>
              <w:pStyle w:val="Tabletext"/>
              <w:rPr>
                <w:lang w:val="en-US"/>
              </w:rPr>
            </w:pPr>
            <w:r w:rsidRPr="00E87E32">
              <w:t>161.975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2</w:t>
            </w:r>
          </w:p>
        </w:tc>
        <w:tc>
          <w:tcPr>
            <w:tcW w:w="2841" w:type="dxa"/>
          </w:tcPr>
          <w:p w:rsidR="00B51B9D" w:rsidRPr="00E87E32" w:rsidRDefault="00B51B9D" w:rsidP="00F45B82">
            <w:pPr>
              <w:pStyle w:val="Tabletext"/>
              <w:rPr>
                <w:lang w:val="en-US"/>
              </w:rPr>
            </w:pPr>
            <w:r w:rsidRPr="00E87E32">
              <w:t>162.025</w:t>
            </w:r>
          </w:p>
        </w:tc>
        <w:tc>
          <w:tcPr>
            <w:tcW w:w="2562" w:type="dxa"/>
          </w:tcPr>
          <w:p w:rsidR="00B51B9D" w:rsidRPr="00E87E32" w:rsidRDefault="00B51B9D" w:rsidP="00F45B82">
            <w:pPr>
              <w:pStyle w:val="Tabletext"/>
              <w:rPr>
                <w:lang w:val="en-US"/>
              </w:rPr>
            </w:pPr>
            <w:r w:rsidRPr="00E87E32">
              <w:t>162.025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75  (long range AIS)</w:t>
            </w:r>
          </w:p>
        </w:tc>
        <w:tc>
          <w:tcPr>
            <w:tcW w:w="2841" w:type="dxa"/>
          </w:tcPr>
          <w:p w:rsidR="00B51B9D" w:rsidRPr="00E87E32" w:rsidRDefault="00B51B9D" w:rsidP="00F45B82">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05"/>
          <w:jc w:val="center"/>
        </w:trPr>
        <w:tc>
          <w:tcPr>
            <w:tcW w:w="3862" w:type="dxa"/>
          </w:tcPr>
          <w:p w:rsidR="00B51B9D" w:rsidRPr="00E87E32" w:rsidRDefault="00B51B9D" w:rsidP="00F45B82">
            <w:pPr>
              <w:pStyle w:val="Tabletext"/>
              <w:rPr>
                <w:lang w:val="en-US"/>
              </w:rPr>
            </w:pPr>
            <w:r w:rsidRPr="00E87E32">
              <w:t>76  (long range AIS)</w:t>
            </w:r>
          </w:p>
        </w:tc>
        <w:tc>
          <w:tcPr>
            <w:tcW w:w="2841" w:type="dxa"/>
          </w:tcPr>
          <w:p w:rsidR="00B51B9D" w:rsidRPr="00E87E32" w:rsidRDefault="00B51B9D" w:rsidP="00F45B82">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lastRenderedPageBreak/>
              <w:t>2027  (ASM 1)</w:t>
            </w:r>
          </w:p>
        </w:tc>
        <w:tc>
          <w:tcPr>
            <w:tcW w:w="2841" w:type="dxa"/>
          </w:tcPr>
          <w:p w:rsidR="00B51B9D" w:rsidRPr="00E87E32" w:rsidRDefault="00B51B9D" w:rsidP="00F45B82">
            <w:pPr>
              <w:pStyle w:val="Tabletext"/>
              <w:rPr>
                <w:lang w:val="en-US"/>
              </w:rPr>
            </w:pPr>
            <w:r w:rsidRPr="00E87E32">
              <w:t>161.950 (2027)</w:t>
            </w:r>
          </w:p>
        </w:tc>
        <w:tc>
          <w:tcPr>
            <w:tcW w:w="2562" w:type="dxa"/>
          </w:tcPr>
          <w:p w:rsidR="00B51B9D" w:rsidRPr="00E87E32" w:rsidRDefault="00B51B9D" w:rsidP="00F45B82">
            <w:pPr>
              <w:pStyle w:val="Tabletext"/>
              <w:rPr>
                <w:lang w:val="en-US"/>
              </w:rPr>
            </w:pPr>
            <w:r w:rsidRPr="00E87E32">
              <w:t>161.950 (2027)</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2028  (ASM 2)</w:t>
            </w:r>
          </w:p>
        </w:tc>
        <w:tc>
          <w:tcPr>
            <w:tcW w:w="2841" w:type="dxa"/>
          </w:tcPr>
          <w:p w:rsidR="00B51B9D" w:rsidRPr="00E87E32" w:rsidRDefault="00B51B9D" w:rsidP="00F45B82">
            <w:pPr>
              <w:pStyle w:val="Tabletext"/>
              <w:rPr>
                <w:lang w:val="en-US"/>
              </w:rPr>
            </w:pPr>
            <w:r w:rsidRPr="00E87E32">
              <w:t>162.000 (2028)</w:t>
            </w:r>
          </w:p>
        </w:tc>
        <w:tc>
          <w:tcPr>
            <w:tcW w:w="2562" w:type="dxa"/>
          </w:tcPr>
          <w:p w:rsidR="00B51B9D" w:rsidRPr="00E87E32" w:rsidRDefault="00B51B9D" w:rsidP="00F45B82">
            <w:pPr>
              <w:pStyle w:val="Tabletext"/>
              <w:rPr>
                <w:lang w:val="en-US"/>
              </w:rPr>
            </w:pPr>
            <w:r w:rsidRPr="00E87E32">
              <w:t>162.000 (2028)</w:t>
            </w:r>
          </w:p>
        </w:tc>
      </w:tr>
      <w:tr w:rsidR="00B51B9D" w:rsidRPr="00E87E32" w:rsidTr="00F45B82">
        <w:tblPrEx>
          <w:tblCellMar>
            <w:left w:w="108" w:type="dxa"/>
            <w:right w:w="108" w:type="dxa"/>
          </w:tblCellMar>
        </w:tblPrEx>
        <w:trPr>
          <w:gridAfter w:val="1"/>
          <w:wAfter w:w="108" w:type="dxa"/>
          <w:trHeight w:val="309"/>
          <w:jc w:val="center"/>
        </w:trPr>
        <w:tc>
          <w:tcPr>
            <w:tcW w:w="3862" w:type="dxa"/>
            <w:vMerge w:val="restart"/>
          </w:tcPr>
          <w:p w:rsidR="00B51B9D" w:rsidRPr="00E87E32" w:rsidRDefault="00B51B9D" w:rsidP="00F45B82">
            <w:pPr>
              <w:pStyle w:val="Tabletext"/>
            </w:pPr>
            <w:r w:rsidRPr="00E87E32">
              <w:t xml:space="preserve">24/84/25/85 (VDE 1) </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pPr>
            <w:r w:rsidRPr="00E87E32">
              <w:t>24</w:t>
            </w:r>
          </w:p>
          <w:p w:rsidR="00B51B9D" w:rsidRPr="00E87E32" w:rsidRDefault="00B51B9D" w:rsidP="00F45B82">
            <w:pPr>
              <w:pStyle w:val="Tabletext"/>
              <w:spacing w:after="80"/>
            </w:pPr>
            <w:r w:rsidRPr="00E87E32">
              <w:t>84</w:t>
            </w:r>
          </w:p>
          <w:p w:rsidR="00B51B9D" w:rsidRPr="00E87E32" w:rsidRDefault="00B51B9D" w:rsidP="00F45B82">
            <w:pPr>
              <w:pStyle w:val="Tabletext"/>
              <w:spacing w:after="80"/>
            </w:pPr>
            <w:r w:rsidRPr="00E87E32">
              <w:t>25</w:t>
            </w:r>
          </w:p>
          <w:p w:rsidR="00B51B9D" w:rsidRPr="00E87E32" w:rsidRDefault="00B51B9D" w:rsidP="00F45B82">
            <w:pPr>
              <w:pStyle w:val="Tabletext"/>
              <w:spacing w:after="80"/>
              <w:rPr>
                <w:lang w:val="en-US"/>
              </w:rPr>
            </w:pPr>
            <w:r w:rsidRPr="00E87E32">
              <w:t>85</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lower legs, merged)</w:t>
            </w:r>
          </w:p>
          <w:p w:rsidR="00B51B9D" w:rsidRPr="00E87E32" w:rsidRDefault="00B51B9D" w:rsidP="00F45B82">
            <w:pPr>
              <w:pStyle w:val="Tabletext"/>
              <w:rPr>
                <w:lang w:val="en-US"/>
              </w:rPr>
            </w:pPr>
            <w:r w:rsidRPr="00E87E32">
              <w:rPr>
                <w:lang w:val="en-US"/>
              </w:rPr>
              <w:t>Ship to shore</w:t>
            </w:r>
          </w:p>
          <w:p w:rsidR="00B51B9D" w:rsidRPr="00E87E32" w:rsidRDefault="00B51B9D" w:rsidP="00F45B82">
            <w:pPr>
              <w:pStyle w:val="Tabletext"/>
              <w:rPr>
                <w:lang w:val="en-US"/>
              </w:rPr>
            </w:pPr>
            <w:r w:rsidRPr="00E87E32">
              <w:rPr>
                <w:lang w:val="en-US"/>
              </w:rPr>
              <w:t>Ship to satellite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upper legs, merged)</w:t>
            </w:r>
          </w:p>
          <w:p w:rsidR="00B51B9D" w:rsidRPr="00E87E32" w:rsidRDefault="00B51B9D" w:rsidP="00F45B82">
            <w:pPr>
              <w:pStyle w:val="Tabletext"/>
              <w:rPr>
                <w:lang w:val="en-US"/>
              </w:rPr>
            </w:pPr>
            <w:r w:rsidRPr="00E87E32">
              <w:rPr>
                <w:lang w:val="en-US"/>
              </w:rPr>
              <w:t>Ship to ship, Shore to ship</w:t>
            </w:r>
          </w:p>
          <w:p w:rsidR="00B51B9D" w:rsidRPr="00E87E32" w:rsidRDefault="00B51B9D" w:rsidP="00F45B82">
            <w:pPr>
              <w:pStyle w:val="Tabletext"/>
              <w:rPr>
                <w:lang w:val="en-US"/>
              </w:rPr>
            </w:pPr>
            <w:r w:rsidRPr="00E87E32">
              <w:rPr>
                <w:lang w:val="en-US"/>
              </w:rPr>
              <w:t>Satellite to ship under certain conditions</w:t>
            </w:r>
          </w:p>
        </w:tc>
      </w:tr>
      <w:tr w:rsidR="00B51B9D" w:rsidRPr="00E87E32" w:rsidTr="00F45B82">
        <w:tblPrEx>
          <w:tblCellMar>
            <w:left w:w="108" w:type="dxa"/>
            <w:right w:w="108" w:type="dxa"/>
          </w:tblCellMar>
        </w:tblPrEx>
        <w:trPr>
          <w:gridAfter w:val="1"/>
          <w:wAfter w:w="108" w:type="dxa"/>
          <w:trHeight w:val="144"/>
          <w:jc w:val="center"/>
        </w:trPr>
        <w:tc>
          <w:tcPr>
            <w:tcW w:w="3862" w:type="dxa"/>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pPr>
            <w:r w:rsidRPr="00E87E32">
              <w:t>157.200 (1024)</w:t>
            </w:r>
          </w:p>
        </w:tc>
        <w:tc>
          <w:tcPr>
            <w:tcW w:w="2562" w:type="dxa"/>
          </w:tcPr>
          <w:p w:rsidR="00B51B9D" w:rsidRPr="00E87E32" w:rsidRDefault="00B51B9D" w:rsidP="00F45B82">
            <w:pPr>
              <w:pStyle w:val="Tabletext"/>
              <w:rPr>
                <w:lang w:val="en-US"/>
              </w:rPr>
            </w:pPr>
            <w:r w:rsidRPr="00E87E32">
              <w:t>161.800 (2024)</w:t>
            </w:r>
          </w:p>
        </w:tc>
      </w:tr>
      <w:tr w:rsidR="00B51B9D" w:rsidRPr="00E87E32" w:rsidTr="00F45B82">
        <w:tblPrEx>
          <w:tblCellMar>
            <w:left w:w="108" w:type="dxa"/>
            <w:right w:w="108" w:type="dxa"/>
          </w:tblCellMar>
        </w:tblPrEx>
        <w:trPr>
          <w:gridAfter w:val="1"/>
          <w:wAfter w:w="108" w:type="dxa"/>
          <w:trHeight w:val="168"/>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pPr>
            <w:r w:rsidRPr="00E87E32">
              <w:t>157.225 (1084)</w:t>
            </w:r>
          </w:p>
        </w:tc>
        <w:tc>
          <w:tcPr>
            <w:tcW w:w="2562" w:type="dxa"/>
          </w:tcPr>
          <w:p w:rsidR="00B51B9D" w:rsidRPr="00E87E32" w:rsidRDefault="00B51B9D" w:rsidP="00F45B82">
            <w:pPr>
              <w:pStyle w:val="Tabletext"/>
              <w:rPr>
                <w:lang w:val="en-US"/>
              </w:rPr>
            </w:pPr>
            <w:r w:rsidRPr="00E87E32">
              <w:t>161.825 (2084)</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157.250 (1025)</w:t>
            </w:r>
          </w:p>
        </w:tc>
        <w:tc>
          <w:tcPr>
            <w:tcW w:w="2562" w:type="dxa"/>
          </w:tcPr>
          <w:p w:rsidR="00B51B9D" w:rsidRPr="00E87E32" w:rsidRDefault="00B51B9D" w:rsidP="00F45B82">
            <w:pPr>
              <w:pStyle w:val="Tabletext"/>
              <w:rPr>
                <w:lang w:val="en-US"/>
              </w:rPr>
            </w:pPr>
            <w:r w:rsidRPr="00E87E32">
              <w:t>161.850 (2025)</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157.275 (1085)</w:t>
            </w:r>
          </w:p>
        </w:tc>
        <w:tc>
          <w:tcPr>
            <w:tcW w:w="2562" w:type="dxa"/>
          </w:tcPr>
          <w:p w:rsidR="00B51B9D" w:rsidRPr="00E87E32" w:rsidRDefault="00B51B9D" w:rsidP="00F45B82">
            <w:pPr>
              <w:pStyle w:val="Tabletext"/>
              <w:rPr>
                <w:lang w:val="en-US"/>
              </w:rPr>
            </w:pPr>
            <w:r w:rsidRPr="00E87E32">
              <w:t>161.875 (2085)</w:t>
            </w:r>
          </w:p>
        </w:tc>
      </w:tr>
      <w:tr w:rsidR="00B51B9D" w:rsidRPr="00E87E32" w:rsidTr="00F45B82">
        <w:tblPrEx>
          <w:tblCellMar>
            <w:left w:w="108" w:type="dxa"/>
            <w:right w:w="108" w:type="dxa"/>
          </w:tblCellMar>
        </w:tblPrEx>
        <w:trPr>
          <w:gridAfter w:val="1"/>
          <w:wAfter w:w="108" w:type="dxa"/>
          <w:trHeight w:val="476"/>
          <w:jc w:val="center"/>
        </w:trPr>
        <w:tc>
          <w:tcPr>
            <w:tcW w:w="3862" w:type="dxa"/>
            <w:vMerge w:val="restart"/>
          </w:tcPr>
          <w:p w:rsidR="00B51B9D" w:rsidRPr="00E87E32" w:rsidRDefault="00B51B9D" w:rsidP="00F45B82">
            <w:pPr>
              <w:pStyle w:val="Tabletext"/>
              <w:rPr>
                <w:lang w:val="en-US"/>
              </w:rPr>
            </w:pPr>
            <w:r w:rsidRPr="00E87E32">
              <w:t>26/86 (SAT 1</w:t>
            </w:r>
            <w:r>
              <w:t>/VDE 2</w:t>
            </w:r>
            <w:r w:rsidRPr="00E87E32">
              <w:t>)</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rPr>
                <w:lang w:val="en-US"/>
              </w:rPr>
            </w:pPr>
            <w:r w:rsidRPr="00E87E32">
              <w:t>26</w:t>
            </w:r>
          </w:p>
          <w:p w:rsidR="00B51B9D" w:rsidRPr="00E87E32" w:rsidRDefault="00B51B9D" w:rsidP="00F45B82">
            <w:pPr>
              <w:pStyle w:val="Tabletext"/>
              <w:spacing w:after="80"/>
            </w:pPr>
            <w:r w:rsidRPr="00E87E32">
              <w:t>86</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lower legs, merged)</w:t>
            </w:r>
          </w:p>
          <w:p w:rsidR="00B51B9D" w:rsidRPr="00E87E32" w:rsidRDefault="00B51B9D" w:rsidP="00F45B82">
            <w:pPr>
              <w:pStyle w:val="Tabletext"/>
              <w:rPr>
                <w:lang w:val="en-US"/>
              </w:rPr>
            </w:pPr>
            <w:r w:rsidRPr="00E87E32">
              <w:t>Ship to satellite</w:t>
            </w:r>
            <w:r>
              <w:t>/shore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upper legs, merged)</w:t>
            </w:r>
          </w:p>
          <w:p w:rsidR="00B51B9D" w:rsidRPr="00E87E32" w:rsidRDefault="00B51B9D" w:rsidP="00F45B82">
            <w:pPr>
              <w:pStyle w:val="Tabletext"/>
              <w:rPr>
                <w:lang w:val="en-US"/>
              </w:rPr>
            </w:pPr>
            <w:r w:rsidRPr="00E87E32">
              <w:t>Satellite</w:t>
            </w:r>
            <w:r>
              <w:t>/shore</w:t>
            </w:r>
            <w:r w:rsidRPr="00E87E32">
              <w:t xml:space="preserve"> to ship</w:t>
            </w:r>
          </w:p>
        </w:tc>
      </w:tr>
      <w:tr w:rsidR="00B51B9D" w:rsidRPr="00E87E32" w:rsidTr="00F45B82">
        <w:tblPrEx>
          <w:tblCellMar>
            <w:left w:w="108" w:type="dxa"/>
            <w:right w:w="108" w:type="dxa"/>
          </w:tblCellMar>
        </w:tblPrEx>
        <w:trPr>
          <w:gridAfter w:val="1"/>
          <w:wAfter w:w="108" w:type="dxa"/>
          <w:trHeight w:val="270"/>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157.300 (1026)</w:t>
            </w:r>
          </w:p>
        </w:tc>
        <w:tc>
          <w:tcPr>
            <w:tcW w:w="2562" w:type="dxa"/>
          </w:tcPr>
          <w:p w:rsidR="00B51B9D" w:rsidRPr="00E87E32" w:rsidRDefault="00B51B9D" w:rsidP="00F45B82">
            <w:pPr>
              <w:pStyle w:val="Tabletext"/>
              <w:rPr>
                <w:lang w:val="en-US"/>
              </w:rPr>
            </w:pPr>
            <w:r w:rsidRPr="00E87E32">
              <w:t>161.900 (2026)</w:t>
            </w:r>
          </w:p>
        </w:tc>
      </w:tr>
      <w:tr w:rsidR="00B51B9D" w:rsidRPr="00E87E32" w:rsidTr="00F45B82">
        <w:tblPrEx>
          <w:tblCellMar>
            <w:left w:w="108" w:type="dxa"/>
            <w:right w:w="108" w:type="dxa"/>
          </w:tblCellMar>
        </w:tblPrEx>
        <w:trPr>
          <w:gridAfter w:val="1"/>
          <w:wAfter w:w="108" w:type="dxa"/>
          <w:trHeight w:val="327"/>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157.325 (1086)</w:t>
            </w:r>
          </w:p>
        </w:tc>
        <w:tc>
          <w:tcPr>
            <w:tcW w:w="2562" w:type="dxa"/>
          </w:tcPr>
          <w:p w:rsidR="00B51B9D" w:rsidRPr="00E87E32" w:rsidRDefault="00B51B9D" w:rsidP="00F45B82">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w:t>
      </w:r>
      <w:r w:rsidR="005A2B8F">
        <w:t xml:space="preserve">the </w:t>
      </w:r>
      <w:r>
        <w:rPr>
          <w:rFonts w:hint="eastAsia"/>
        </w:rPr>
        <w:t xml:space="preserve">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w:t>
      </w:r>
      <w:r w:rsidR="005A2B8F">
        <w:t xml:space="preserve">the </w:t>
      </w:r>
      <w:r w:rsidR="006E36E8">
        <w:rPr>
          <w:rFonts w:hint="eastAsia"/>
        </w:rPr>
        <w:t xml:space="preserve">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w:t>
      </w:r>
      <w:r w:rsidR="005A2B8F">
        <w:t>of</w:t>
      </w:r>
      <w:r w:rsidR="002A29EB">
        <w:rPr>
          <w:rFonts w:hint="eastAsia"/>
        </w:rPr>
        <w:t xml:space="preserve"> the whole maritime world.</w:t>
      </w:r>
    </w:p>
    <w:p w:rsidR="00770205" w:rsidRDefault="00770205"/>
    <w:p w:rsidR="00770205" w:rsidRDefault="00770205"/>
    <w:sectPr w:rsidR="00770205" w:rsidSect="00E354CE">
      <w:headerReference w:type="even" r:id="rId11"/>
      <w:footerReference w:type="default" r:id="rId12"/>
      <w:headerReference w:type="first" r:id="rId13"/>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945" w:rsidRDefault="00847945">
      <w:r>
        <w:separator/>
      </w:r>
    </w:p>
  </w:endnote>
  <w:endnote w:type="continuationSeparator" w:id="0">
    <w:p w:rsidR="00847945" w:rsidRDefault="0084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EE3E69">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945" w:rsidRDefault="00847945">
      <w:r>
        <w:separator/>
      </w:r>
    </w:p>
  </w:footnote>
  <w:footnote w:type="continuationSeparator" w:id="0">
    <w:p w:rsidR="00847945" w:rsidRDefault="00847945">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8479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E69" w:rsidRDefault="00EE3E69" w:rsidP="00EE3E69">
    <w:pPr>
      <w:pStyle w:val="BodyText"/>
      <w:tabs>
        <w:tab w:val="left" w:pos="2552"/>
      </w:tabs>
      <w:jc w:val="right"/>
      <w:rPr>
        <w:lang w:val="sv-SE"/>
      </w:rPr>
    </w:pPr>
    <w:r>
      <w:rPr>
        <w:lang w:val="sv-SE"/>
      </w:rPr>
      <w:t>ENG1-10.13.2</w:t>
    </w:r>
  </w:p>
  <w:p w:rsidR="00E354CE" w:rsidRPr="006F7478" w:rsidRDefault="00EE3E69" w:rsidP="00E354CE">
    <w:pPr>
      <w:pStyle w:val="BodyText"/>
      <w:tabs>
        <w:tab w:val="left" w:pos="2552"/>
      </w:tabs>
      <w:rPr>
        <w:lang w:val="sv-SE"/>
      </w:rPr>
    </w:pPr>
    <w:r>
      <w:rPr>
        <w:lang w:val="sv-SE"/>
      </w:rPr>
      <w:t xml:space="preserve">Formerly </w:t>
    </w:r>
    <w:r w:rsidR="00E354CE" w:rsidRPr="006F7478">
      <w:rPr>
        <w:lang w:val="sv-SE"/>
      </w:rPr>
      <w:t>e-NAV</w:t>
    </w:r>
    <w:r w:rsidR="00E354CE" w:rsidRPr="00277E12">
      <w:rPr>
        <w:lang w:val="sv-SE"/>
      </w:rPr>
      <w:t>14</w:t>
    </w:r>
    <w:r w:rsidR="00E354CE">
      <w:rPr>
        <w:lang w:val="sv-SE"/>
      </w:rPr>
      <w:t>-17.1.3.1</w:t>
    </w:r>
    <w:r w:rsidR="00047671">
      <w:rPr>
        <w:lang w:val="sv-SE"/>
      </w:rPr>
      <w:t xml:space="preserve"> v2</w:t>
    </w:r>
    <w:r w:rsidR="00E354CE" w:rsidRPr="006F7478">
      <w:rPr>
        <w:lang w:val="sv-SE"/>
      </w:rPr>
      <w:tab/>
      <w:t>Information paper</w:t>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00EE3E69">
      <w:rPr>
        <w:lang w:val="sv-SE"/>
      </w:rPr>
      <w:t xml:space="preserve">e-NAV14 agenda </w:t>
    </w:r>
    <w:r w:rsidRPr="00277E12">
      <w:rPr>
        <w:lang w:val="sv-SE"/>
      </w:rPr>
      <w:t>10.3</w:t>
    </w:r>
  </w:p>
  <w:p w:rsidR="00E354CE" w:rsidRDefault="00E354CE" w:rsidP="00E354CE">
    <w:pPr>
      <w:pStyle w:val="BodyText"/>
      <w:tabs>
        <w:tab w:val="left" w:pos="2552"/>
      </w:tabs>
    </w:pPr>
    <w:r>
      <w:t>Task Number</w:t>
    </w:r>
    <w:r w:rsidR="00420C4C">
      <w:tab/>
    </w:r>
    <w:r w:rsidR="00EE3E69">
      <w:t>e-NAV task</w:t>
    </w:r>
    <w:r w:rsidR="00420C4C">
      <w:t>19</w:t>
    </w:r>
  </w:p>
  <w:p w:rsidR="00E354CE" w:rsidRDefault="00E354CE" w:rsidP="00E354CE">
    <w:pPr>
      <w:pStyle w:val="BodyText"/>
      <w:tabs>
        <w:tab w:val="left" w:pos="2552"/>
      </w:tabs>
    </w:pPr>
    <w:r>
      <w:t>Author(s) / Submitter(s)</w:t>
    </w:r>
    <w:r>
      <w:tab/>
    </w:r>
    <w:r w:rsidR="00EE3E69">
      <w:t xml:space="preserve">e-NAV </w:t>
    </w:r>
    <w:r w:rsidRPr="00277E12">
      <w:t>WG3 &amp;4</w:t>
    </w:r>
  </w:p>
  <w:p w:rsidR="004665D3" w:rsidRDefault="008479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16DF"/>
    <w:rsid w:val="00025638"/>
    <w:rsid w:val="0003634C"/>
    <w:rsid w:val="00047671"/>
    <w:rsid w:val="000778B2"/>
    <w:rsid w:val="00077E3A"/>
    <w:rsid w:val="000A7B6E"/>
    <w:rsid w:val="000A7C43"/>
    <w:rsid w:val="000E7A62"/>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05A2"/>
    <w:rsid w:val="002A29E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307E3"/>
    <w:rsid w:val="005424CB"/>
    <w:rsid w:val="00562F1B"/>
    <w:rsid w:val="0057161F"/>
    <w:rsid w:val="005A2B8F"/>
    <w:rsid w:val="005A4874"/>
    <w:rsid w:val="005C1C2D"/>
    <w:rsid w:val="005C4980"/>
    <w:rsid w:val="00625F9C"/>
    <w:rsid w:val="00642367"/>
    <w:rsid w:val="00653567"/>
    <w:rsid w:val="00663A52"/>
    <w:rsid w:val="00674360"/>
    <w:rsid w:val="0067641A"/>
    <w:rsid w:val="00680A2C"/>
    <w:rsid w:val="006823B6"/>
    <w:rsid w:val="00684C09"/>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47945"/>
    <w:rsid w:val="00867627"/>
    <w:rsid w:val="00893F58"/>
    <w:rsid w:val="00895C59"/>
    <w:rsid w:val="008A40D8"/>
    <w:rsid w:val="008A5BFC"/>
    <w:rsid w:val="008B5497"/>
    <w:rsid w:val="008E0B6F"/>
    <w:rsid w:val="009029A1"/>
    <w:rsid w:val="00923C29"/>
    <w:rsid w:val="00941C31"/>
    <w:rsid w:val="00942EEB"/>
    <w:rsid w:val="00952818"/>
    <w:rsid w:val="009669AC"/>
    <w:rsid w:val="00991D23"/>
    <w:rsid w:val="009A23A2"/>
    <w:rsid w:val="009E23C8"/>
    <w:rsid w:val="009E4A63"/>
    <w:rsid w:val="009E62F7"/>
    <w:rsid w:val="00A02C3F"/>
    <w:rsid w:val="00A031FD"/>
    <w:rsid w:val="00A112FE"/>
    <w:rsid w:val="00A14499"/>
    <w:rsid w:val="00A253C9"/>
    <w:rsid w:val="00A26526"/>
    <w:rsid w:val="00A31CE7"/>
    <w:rsid w:val="00A33775"/>
    <w:rsid w:val="00A346C9"/>
    <w:rsid w:val="00A50CAB"/>
    <w:rsid w:val="00A7377E"/>
    <w:rsid w:val="00A7696C"/>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1DD6"/>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EE3E69"/>
    <w:rsid w:val="00F114E8"/>
    <w:rsid w:val="00F378FC"/>
    <w:rsid w:val="00F404CB"/>
    <w:rsid w:val="00F4122B"/>
    <w:rsid w:val="00F6769A"/>
    <w:rsid w:val="00FC4C5C"/>
    <w:rsid w:val="00FC6F8D"/>
    <w:rsid w:val="00FD1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 w:type="character" w:styleId="CommentReference">
    <w:name w:val="annotation reference"/>
    <w:basedOn w:val="DefaultParagraphFont"/>
    <w:rsid w:val="00A50CAB"/>
    <w:rPr>
      <w:sz w:val="16"/>
      <w:szCs w:val="16"/>
    </w:rPr>
  </w:style>
  <w:style w:type="paragraph" w:styleId="CommentText">
    <w:name w:val="annotation text"/>
    <w:basedOn w:val="Normal"/>
    <w:link w:val="CommentTextChar"/>
    <w:rsid w:val="00A50CAB"/>
    <w:rPr>
      <w:sz w:val="20"/>
      <w:szCs w:val="20"/>
    </w:rPr>
  </w:style>
  <w:style w:type="character" w:customStyle="1" w:styleId="CommentTextChar">
    <w:name w:val="Comment Text Char"/>
    <w:basedOn w:val="DefaultParagraphFont"/>
    <w:link w:val="CommentText"/>
    <w:rsid w:val="00A50CAB"/>
    <w:rPr>
      <w:rFonts w:ascii="Arial" w:eastAsia="MS Gothic" w:hAnsi="Arial"/>
      <w:kern w:val="2"/>
      <w:lang w:val="en-US" w:eastAsia="ja-JP"/>
    </w:rPr>
  </w:style>
  <w:style w:type="paragraph" w:styleId="CommentSubject">
    <w:name w:val="annotation subject"/>
    <w:basedOn w:val="CommentText"/>
    <w:next w:val="CommentText"/>
    <w:link w:val="CommentSubjectChar"/>
    <w:rsid w:val="00A50CAB"/>
    <w:rPr>
      <w:b/>
      <w:bCs/>
    </w:rPr>
  </w:style>
  <w:style w:type="character" w:customStyle="1" w:styleId="CommentSubjectChar">
    <w:name w:val="Comment Subject Char"/>
    <w:basedOn w:val="CommentTextChar"/>
    <w:link w:val="CommentSubject"/>
    <w:rsid w:val="00A50CAB"/>
    <w:rPr>
      <w:rFonts w:ascii="Arial" w:eastAsia="MS Gothic" w:hAnsi="Arial"/>
      <w:b/>
      <w:bCs/>
      <w:kern w:val="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 w:type="character" w:styleId="CommentReference">
    <w:name w:val="annotation reference"/>
    <w:basedOn w:val="DefaultParagraphFont"/>
    <w:rsid w:val="00A50CAB"/>
    <w:rPr>
      <w:sz w:val="16"/>
      <w:szCs w:val="16"/>
    </w:rPr>
  </w:style>
  <w:style w:type="paragraph" w:styleId="CommentText">
    <w:name w:val="annotation text"/>
    <w:basedOn w:val="Normal"/>
    <w:link w:val="CommentTextChar"/>
    <w:rsid w:val="00A50CAB"/>
    <w:rPr>
      <w:sz w:val="20"/>
      <w:szCs w:val="20"/>
    </w:rPr>
  </w:style>
  <w:style w:type="character" w:customStyle="1" w:styleId="CommentTextChar">
    <w:name w:val="Comment Text Char"/>
    <w:basedOn w:val="DefaultParagraphFont"/>
    <w:link w:val="CommentText"/>
    <w:rsid w:val="00A50CAB"/>
    <w:rPr>
      <w:rFonts w:ascii="Arial" w:eastAsia="MS Gothic" w:hAnsi="Arial"/>
      <w:kern w:val="2"/>
      <w:lang w:val="en-US" w:eastAsia="ja-JP"/>
    </w:rPr>
  </w:style>
  <w:style w:type="paragraph" w:styleId="CommentSubject">
    <w:name w:val="annotation subject"/>
    <w:basedOn w:val="CommentText"/>
    <w:next w:val="CommentText"/>
    <w:link w:val="CommentSubjectChar"/>
    <w:rsid w:val="00A50CAB"/>
    <w:rPr>
      <w:b/>
      <w:bCs/>
    </w:rPr>
  </w:style>
  <w:style w:type="character" w:customStyle="1" w:styleId="CommentSubjectChar">
    <w:name w:val="Comment Subject Char"/>
    <w:basedOn w:val="CommentTextChar"/>
    <w:link w:val="CommentSubject"/>
    <w:rsid w:val="00A50CAB"/>
    <w:rPr>
      <w:rFonts w:ascii="Arial" w:eastAsia="MS Gothic" w:hAnsi="Arial"/>
      <w:b/>
      <w:bCs/>
      <w:kern w:val="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F2412-154C-4DBB-AEED-346B4494F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1957</Words>
  <Characters>11160</Characters>
  <Application>Microsoft Office Word</Application>
  <DocSecurity>0</DocSecurity>
  <Lines>93</Lines>
  <Paragraphs>26</Paragraphs>
  <ScaleCrop>false</ScaleCrop>
  <HeadingPairs>
    <vt:vector size="6" baseType="variant">
      <vt:variant>
        <vt:lpstr>Title</vt:lpstr>
      </vt:variant>
      <vt:variant>
        <vt:i4>1</vt:i4>
      </vt:variant>
      <vt:variant>
        <vt:lpstr>Rubrik</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Seamus Doyle</cp:lastModifiedBy>
  <cp:revision>7</cp:revision>
  <cp:lastPrinted>2013-08-05T06:23:00Z</cp:lastPrinted>
  <dcterms:created xsi:type="dcterms:W3CDTF">2013-11-03T21:03:00Z</dcterms:created>
  <dcterms:modified xsi:type="dcterms:W3CDTF">2014-10-08T09:42:00Z</dcterms:modified>
</cp:coreProperties>
</file>