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328A9" w14:textId="3B025B0C" w:rsidR="00FD24BB" w:rsidRDefault="006A11B9">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Pr="006A11B9">
        <w:rPr>
          <w:rFonts w:ascii="Calibri" w:hAnsi="Calibri"/>
        </w:rPr>
        <w:t>DTEC1-5.1.3.8</w:t>
      </w:r>
    </w:p>
    <w:p w14:paraId="3C3BB77B" w14:textId="77777777" w:rsidR="00FD24BB" w:rsidRDefault="00FD24BB">
      <w:pPr>
        <w:pStyle w:val="BodyText"/>
        <w:tabs>
          <w:tab w:val="left" w:pos="2835"/>
        </w:tabs>
        <w:rPr>
          <w:rFonts w:ascii="Calibri" w:hAnsi="Calibri"/>
        </w:rPr>
      </w:pPr>
    </w:p>
    <w:p w14:paraId="59FACC96" w14:textId="77777777" w:rsidR="00FD24BB" w:rsidRDefault="00FD24BB">
      <w:pPr>
        <w:pStyle w:val="BodyText"/>
        <w:tabs>
          <w:tab w:val="left" w:pos="2835"/>
        </w:tabs>
        <w:rPr>
          <w:rFonts w:ascii="Calibri" w:hAnsi="Calibri"/>
        </w:rPr>
      </w:pPr>
    </w:p>
    <w:p w14:paraId="05878DB5" w14:textId="77777777" w:rsidR="00FD24BB" w:rsidRDefault="006A11B9">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3C540BDB" w14:textId="77777777" w:rsidR="00FD24BB" w:rsidRDefault="006A11B9">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7F57A5C0" w14:textId="146C61E6" w:rsidR="00FD24BB" w:rsidRDefault="006A11B9">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hAnsi="Calibri" w:cs="Arial"/>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710AC0">
        <w:rPr>
          <w:rFonts w:ascii="Calibri" w:hAnsi="Calibri" w:cs="Arial"/>
          <w:b/>
          <w:sz w:val="24"/>
          <w:szCs w:val="24"/>
        </w:rPr>
        <w:t>X</w:t>
      </w:r>
      <w:r>
        <w:rPr>
          <w:rFonts w:ascii="Calibri" w:hAnsi="Calibri" w:cs="Arial"/>
          <w:sz w:val="24"/>
          <w:szCs w:val="24"/>
        </w:rPr>
        <w:t xml:space="preserve">  Information</w:t>
      </w:r>
    </w:p>
    <w:p w14:paraId="607EA4BE" w14:textId="77777777" w:rsidR="00FD24BB" w:rsidRDefault="00FD24BB">
      <w:pPr>
        <w:pStyle w:val="BodyText"/>
        <w:tabs>
          <w:tab w:val="left" w:pos="2835"/>
        </w:tabs>
        <w:rPr>
          <w:rFonts w:ascii="Calibri" w:hAnsi="Calibri"/>
        </w:rPr>
      </w:pPr>
    </w:p>
    <w:p w14:paraId="7582FFBC" w14:textId="77777777" w:rsidR="00FD24BB" w:rsidRDefault="006A11B9">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3D99D305" w14:textId="77777777" w:rsidR="00FD24BB" w:rsidRDefault="006A11B9">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51414D3E" w14:textId="17853DD3" w:rsidR="00FD24BB" w:rsidRDefault="006A11B9">
      <w:pPr>
        <w:pStyle w:val="BodyText"/>
        <w:tabs>
          <w:tab w:val="left" w:pos="2835"/>
        </w:tabs>
        <w:rPr>
          <w:rFonts w:ascii="Calibri" w:hAnsi="Calibri"/>
          <w:color w:val="FF0000"/>
          <w:lang w:eastAsia="ko-KR"/>
        </w:rPr>
      </w:pPr>
      <w:r>
        <w:rPr>
          <w:rFonts w:ascii="Calibri" w:hAnsi="Calibri"/>
          <w:lang w:eastAsia="ko-KR"/>
        </w:rPr>
        <w:t>Author(s) / Submitter(s)</w:t>
      </w:r>
      <w:r>
        <w:rPr>
          <w:rFonts w:ascii="Calibri" w:hAnsi="Calibri"/>
          <w:lang w:eastAsia="ko-KR"/>
        </w:rPr>
        <w:tab/>
      </w:r>
      <w:r>
        <w:rPr>
          <w:rFonts w:ascii="Calibri" w:hAnsi="Calibri"/>
          <w:lang w:eastAsia="ko-KR"/>
        </w:rPr>
        <w:tab/>
      </w:r>
      <w:r>
        <w:rPr>
          <w:rFonts w:ascii="Calibri" w:hAnsi="Calibri"/>
          <w:lang w:eastAsia="ko-KR"/>
        </w:rPr>
        <w:tab/>
      </w:r>
      <w:r w:rsidR="000B2E92">
        <w:rPr>
          <w:rFonts w:ascii="Calibri" w:hAnsi="Calibri"/>
          <w:lang w:eastAsia="ko-KR"/>
        </w:rPr>
        <w:t>NSONESOFT Co., Ltd. (Republic of Korea)</w:t>
      </w:r>
    </w:p>
    <w:p w14:paraId="513D28FA" w14:textId="77777777" w:rsidR="00FD24BB" w:rsidRDefault="00FD24BB">
      <w:pPr>
        <w:pStyle w:val="BodyText"/>
        <w:tabs>
          <w:tab w:val="left" w:pos="2835"/>
        </w:tabs>
        <w:rPr>
          <w:rFonts w:ascii="Calibri" w:hAnsi="Calibri"/>
          <w:lang w:eastAsia="ko-KR"/>
        </w:rPr>
      </w:pPr>
    </w:p>
    <w:p w14:paraId="3259D66A" w14:textId="71F3096F" w:rsidR="00FD24BB" w:rsidRDefault="006D6DC4">
      <w:pPr>
        <w:pStyle w:val="Title"/>
        <w:rPr>
          <w:rFonts w:ascii="Calibri" w:hAnsi="Calibri"/>
          <w:color w:val="0070C0"/>
          <w:lang w:eastAsia="ko-KR"/>
        </w:rPr>
      </w:pPr>
      <w:r>
        <w:rPr>
          <w:rFonts w:ascii="Calibri" w:hAnsi="Calibri"/>
          <w:color w:val="0070C0"/>
          <w:lang w:eastAsia="ko-KR"/>
        </w:rPr>
        <w:t>Korea’s Research and Development Project on Integrated Terrestrial-Satellite VDES System Compliant with International Standards</w:t>
      </w:r>
    </w:p>
    <w:p w14:paraId="3B8360F2" w14:textId="77777777" w:rsidR="00FD24BB" w:rsidRDefault="00FD24BB">
      <w:pPr>
        <w:pStyle w:val="Title"/>
        <w:rPr>
          <w:rFonts w:ascii="Calibri" w:hAnsi="Calibri"/>
          <w:color w:val="0070C0"/>
          <w:sz w:val="24"/>
          <w:lang w:eastAsia="ko-KR"/>
        </w:rPr>
      </w:pPr>
    </w:p>
    <w:p w14:paraId="5CA0F299" w14:textId="5CA885D5" w:rsidR="00FD24BB" w:rsidRDefault="009B1C7B" w:rsidP="00B57561">
      <w:pPr>
        <w:pStyle w:val="Heading1"/>
        <w:rPr>
          <w:lang w:eastAsia="ko-KR"/>
        </w:rPr>
      </w:pPr>
      <w:r w:rsidRPr="009B1C7B">
        <w:t>1</w:t>
      </w:r>
      <w:r w:rsidRPr="009B1C7B">
        <w:tab/>
        <w:t>SUMMARY</w:t>
      </w:r>
    </w:p>
    <w:p w14:paraId="2515094E" w14:textId="26706AD1" w:rsidR="00C12E1F" w:rsidRPr="009B1C7B" w:rsidRDefault="008E462B">
      <w:pPr>
        <w:pStyle w:val="BodyText"/>
        <w:rPr>
          <w:rFonts w:ascii="Calibri" w:hAnsi="Calibri"/>
        </w:rPr>
      </w:pPr>
      <w:r w:rsidRPr="00B57561">
        <w:rPr>
          <w:rFonts w:ascii="Calibri" w:hAnsi="Calibri"/>
        </w:rPr>
        <w:t xml:space="preserve">This document introduces Korea's </w:t>
      </w:r>
      <w:r w:rsidR="006D6DC4" w:rsidRPr="009B1C7B">
        <w:rPr>
          <w:rFonts w:ascii="Calibri" w:hAnsi="Calibri"/>
        </w:rPr>
        <w:t xml:space="preserve">research and development project on </w:t>
      </w:r>
      <w:r w:rsidR="00710AC0" w:rsidRPr="009B1C7B">
        <w:rPr>
          <w:rFonts w:ascii="Calibri" w:hAnsi="Calibri"/>
        </w:rPr>
        <w:t xml:space="preserve">an </w:t>
      </w:r>
      <w:r w:rsidR="006D6DC4" w:rsidRPr="009B1C7B">
        <w:rPr>
          <w:rFonts w:ascii="Calibri" w:hAnsi="Calibri"/>
        </w:rPr>
        <w:t>integrated terrestrial-satellite VDES system that is compliant with international standards.</w:t>
      </w:r>
      <w:r w:rsidR="009B1C7B" w:rsidRPr="009B1C7B">
        <w:rPr>
          <w:rFonts w:ascii="Calibri" w:hAnsi="Calibri"/>
        </w:rPr>
        <w:t xml:space="preserve"> </w:t>
      </w:r>
      <w:r w:rsidRPr="00B57561">
        <w:rPr>
          <w:rFonts w:ascii="Calibri" w:hAnsi="Calibri"/>
        </w:rPr>
        <w:t xml:space="preserve">This project </w:t>
      </w:r>
      <w:r w:rsidR="00C12E1F" w:rsidRPr="00B57561">
        <w:rPr>
          <w:rFonts w:ascii="Calibri" w:hAnsi="Calibri"/>
        </w:rPr>
        <w:t xml:space="preserve">is </w:t>
      </w:r>
      <w:r w:rsidRPr="00B57561">
        <w:rPr>
          <w:rFonts w:ascii="Calibri" w:hAnsi="Calibri"/>
        </w:rPr>
        <w:t xml:space="preserve">sponsored by the Ministry of Oceans and Fisheries of Korea and </w:t>
      </w:r>
      <w:r w:rsidR="006D6DC4" w:rsidRPr="009B1C7B">
        <w:rPr>
          <w:rFonts w:ascii="Calibri" w:hAnsi="Calibri"/>
        </w:rPr>
        <w:t>managed and evaluated</w:t>
      </w:r>
      <w:r w:rsidRPr="00B57561">
        <w:rPr>
          <w:rFonts w:ascii="Calibri" w:hAnsi="Calibri"/>
        </w:rPr>
        <w:t xml:space="preserve"> by </w:t>
      </w:r>
      <w:proofErr w:type="gramStart"/>
      <w:r w:rsidR="00C12E1F" w:rsidRPr="00B57561">
        <w:rPr>
          <w:rFonts w:ascii="Calibri" w:hAnsi="Calibri"/>
        </w:rPr>
        <w:t>KIMST(</w:t>
      </w:r>
      <w:proofErr w:type="gramEnd"/>
      <w:r w:rsidRPr="00B57561">
        <w:rPr>
          <w:rFonts w:ascii="Calibri" w:hAnsi="Calibri"/>
        </w:rPr>
        <w:t>the</w:t>
      </w:r>
      <w:r w:rsidR="00C12E1F" w:rsidRPr="00B57561">
        <w:rPr>
          <w:rFonts w:ascii="Calibri" w:hAnsi="Calibri"/>
        </w:rPr>
        <w:t xml:space="preserve"> </w:t>
      </w:r>
      <w:r w:rsidRPr="00B57561">
        <w:rPr>
          <w:rFonts w:ascii="Calibri" w:hAnsi="Calibri"/>
        </w:rPr>
        <w:t>Korea Institute of Marine Science and Technology Promotion</w:t>
      </w:r>
      <w:r w:rsidR="00C12E1F" w:rsidRPr="00B57561">
        <w:rPr>
          <w:rFonts w:ascii="Calibri" w:hAnsi="Calibri"/>
        </w:rPr>
        <w:t xml:space="preserve">) </w:t>
      </w:r>
      <w:r w:rsidRPr="00B57561">
        <w:rPr>
          <w:rFonts w:ascii="Calibri" w:hAnsi="Calibri"/>
        </w:rPr>
        <w:t>from April 2</w:t>
      </w:r>
      <w:r w:rsidR="006D6DC4" w:rsidRPr="009B1C7B">
        <w:rPr>
          <w:rFonts w:ascii="Calibri" w:hAnsi="Calibri"/>
        </w:rPr>
        <w:t>023</w:t>
      </w:r>
      <w:r w:rsidRPr="00B57561">
        <w:rPr>
          <w:rFonts w:ascii="Calibri" w:hAnsi="Calibri"/>
        </w:rPr>
        <w:t xml:space="preserve"> to December </w:t>
      </w:r>
      <w:r w:rsidR="006D6DC4" w:rsidRPr="009B1C7B">
        <w:rPr>
          <w:rFonts w:ascii="Calibri" w:hAnsi="Calibri"/>
        </w:rPr>
        <w:t>20</w:t>
      </w:r>
      <w:r w:rsidRPr="00B57561">
        <w:rPr>
          <w:rFonts w:ascii="Calibri" w:hAnsi="Calibri"/>
        </w:rPr>
        <w:t>26.</w:t>
      </w:r>
    </w:p>
    <w:p w14:paraId="66D4A8CC" w14:textId="7A91B173" w:rsidR="00A01876" w:rsidRPr="009B1C7B" w:rsidRDefault="006D6DC4">
      <w:pPr>
        <w:pStyle w:val="BodyText"/>
        <w:rPr>
          <w:rFonts w:ascii="Calibri" w:hAnsi="Calibri"/>
        </w:rPr>
      </w:pPr>
      <w:proofErr w:type="gramStart"/>
      <w:r w:rsidRPr="009B1C7B">
        <w:rPr>
          <w:rFonts w:ascii="Calibri" w:hAnsi="Calibri"/>
        </w:rPr>
        <w:t>KRISO(</w:t>
      </w:r>
      <w:proofErr w:type="gramEnd"/>
      <w:r w:rsidRPr="009B1C7B">
        <w:rPr>
          <w:rFonts w:ascii="Calibri" w:hAnsi="Calibri"/>
        </w:rPr>
        <w:t xml:space="preserve">Korea Research Institute of Ships &amp; Ocean Engineering) is in charge of the overall project. A total of eight institutions, including four public research institutes, three private corporations, and a university participate in the project in order to develop VDES technology and infrastructure that comply with the latest international </w:t>
      </w:r>
      <w:proofErr w:type="gramStart"/>
      <w:r w:rsidRPr="009B1C7B">
        <w:rPr>
          <w:rFonts w:ascii="Calibri" w:hAnsi="Calibri"/>
        </w:rPr>
        <w:t>standard</w:t>
      </w:r>
      <w:r w:rsidR="000967FA" w:rsidRPr="009B1C7B">
        <w:rPr>
          <w:rFonts w:ascii="Calibri" w:hAnsi="Calibri"/>
        </w:rPr>
        <w:t>s(</w:t>
      </w:r>
      <w:proofErr w:type="gramEnd"/>
      <w:r w:rsidR="009B1C7B">
        <w:rPr>
          <w:rFonts w:ascii="Calibri" w:hAnsi="Calibri"/>
        </w:rPr>
        <w:t>the p</w:t>
      </w:r>
      <w:r w:rsidR="006F4513" w:rsidRPr="009B1C7B">
        <w:rPr>
          <w:rFonts w:ascii="Calibri" w:hAnsi="Calibri"/>
        </w:rPr>
        <w:t>roject part</w:t>
      </w:r>
      <w:r w:rsidR="000967FA" w:rsidRPr="009B1C7B">
        <w:rPr>
          <w:rFonts w:ascii="Calibri" w:hAnsi="Calibri"/>
        </w:rPr>
        <w:t xml:space="preserve"> 1)</w:t>
      </w:r>
      <w:r w:rsidRPr="009B1C7B">
        <w:rPr>
          <w:rFonts w:ascii="Calibri" w:hAnsi="Calibri"/>
        </w:rPr>
        <w:t>. The project also aims to develop VDES-based</w:t>
      </w:r>
      <w:r w:rsidR="000967FA" w:rsidRPr="009B1C7B">
        <w:rPr>
          <w:rFonts w:ascii="Calibri" w:hAnsi="Calibri"/>
        </w:rPr>
        <w:t xml:space="preserve"> maritime services and demonstration </w:t>
      </w:r>
      <w:proofErr w:type="gramStart"/>
      <w:r w:rsidR="000967FA" w:rsidRPr="009B1C7B">
        <w:rPr>
          <w:rFonts w:ascii="Calibri" w:hAnsi="Calibri"/>
        </w:rPr>
        <w:t>systems(</w:t>
      </w:r>
      <w:proofErr w:type="gramEnd"/>
      <w:r w:rsidR="009B1C7B">
        <w:rPr>
          <w:rFonts w:ascii="Calibri" w:hAnsi="Calibri"/>
        </w:rPr>
        <w:t>the p</w:t>
      </w:r>
      <w:r w:rsidR="006F4513" w:rsidRPr="009B1C7B">
        <w:rPr>
          <w:rFonts w:ascii="Calibri" w:hAnsi="Calibri"/>
        </w:rPr>
        <w:t>roject part</w:t>
      </w:r>
      <w:r w:rsidR="000967FA" w:rsidRPr="009B1C7B">
        <w:rPr>
          <w:rFonts w:ascii="Calibri" w:hAnsi="Calibri"/>
        </w:rPr>
        <w:t xml:space="preserve"> 2) over the next four years. </w:t>
      </w:r>
      <w:r w:rsidRPr="009B1C7B">
        <w:rPr>
          <w:rFonts w:ascii="Calibri" w:hAnsi="Calibri"/>
        </w:rPr>
        <w:t xml:space="preserve">  </w:t>
      </w:r>
    </w:p>
    <w:p w14:paraId="1E018511" w14:textId="2AB3E843" w:rsidR="00A01876" w:rsidRPr="00B57561" w:rsidRDefault="00A01876">
      <w:pPr>
        <w:pStyle w:val="BodyText"/>
        <w:rPr>
          <w:rFonts w:ascii="Calibri" w:hAnsi="Calibri"/>
        </w:rPr>
      </w:pPr>
      <w:r w:rsidRPr="00B57561">
        <w:rPr>
          <w:rFonts w:ascii="Calibri" w:hAnsi="Calibri"/>
        </w:rPr>
        <w:t>The main out</w:t>
      </w:r>
      <w:r w:rsidRPr="009B1C7B">
        <w:rPr>
          <w:rFonts w:ascii="Calibri" w:hAnsi="Calibri"/>
        </w:rPr>
        <w:t>put</w:t>
      </w:r>
      <w:r w:rsidRPr="00B57561">
        <w:rPr>
          <w:rFonts w:ascii="Calibri" w:hAnsi="Calibri"/>
        </w:rPr>
        <w:t xml:space="preserve"> of th</w:t>
      </w:r>
      <w:r w:rsidR="000967FA" w:rsidRPr="009B1C7B">
        <w:rPr>
          <w:rFonts w:ascii="Calibri" w:hAnsi="Calibri"/>
        </w:rPr>
        <w:t>e</w:t>
      </w:r>
      <w:r w:rsidRPr="00B57561">
        <w:rPr>
          <w:rFonts w:ascii="Calibri" w:hAnsi="Calibri"/>
        </w:rPr>
        <w:t xml:space="preserve"> </w:t>
      </w:r>
      <w:r w:rsidRPr="009B1C7B">
        <w:rPr>
          <w:rFonts w:ascii="Calibri" w:hAnsi="Calibri"/>
        </w:rPr>
        <w:t>R&amp;D</w:t>
      </w:r>
      <w:r w:rsidRPr="00B57561">
        <w:rPr>
          <w:rFonts w:ascii="Calibri" w:hAnsi="Calibri"/>
        </w:rPr>
        <w:t xml:space="preserve"> project can be applied to ship VDES installation and VDE-TER coastal infrastructure construction</w:t>
      </w:r>
      <w:r w:rsidR="000967FA" w:rsidRPr="009B1C7B">
        <w:rPr>
          <w:rFonts w:ascii="Calibri" w:hAnsi="Calibri"/>
        </w:rPr>
        <w:t xml:space="preserve"> that </w:t>
      </w:r>
      <w:r w:rsidR="00710AC0" w:rsidRPr="009B1C7B">
        <w:rPr>
          <w:rFonts w:ascii="Calibri" w:hAnsi="Calibri"/>
        </w:rPr>
        <w:t>is</w:t>
      </w:r>
      <w:r w:rsidR="000967FA" w:rsidRPr="009B1C7B">
        <w:rPr>
          <w:rFonts w:ascii="Calibri" w:hAnsi="Calibri"/>
        </w:rPr>
        <w:t xml:space="preserve"> defined/shall be defined by the revision of</w:t>
      </w:r>
      <w:r w:rsidRPr="00B57561">
        <w:rPr>
          <w:rFonts w:ascii="Calibri" w:hAnsi="Calibri"/>
        </w:rPr>
        <w:t xml:space="preserve"> SOLAS. In addition, it is expected to contribute to expanding the use of VDES-based maritime services and </w:t>
      </w:r>
      <w:r w:rsidR="000967FA" w:rsidRPr="009B1C7B">
        <w:rPr>
          <w:rFonts w:ascii="Calibri" w:hAnsi="Calibri"/>
        </w:rPr>
        <w:t>acquiring</w:t>
      </w:r>
      <w:r w:rsidRPr="00B57561">
        <w:rPr>
          <w:rFonts w:ascii="Calibri" w:hAnsi="Calibri"/>
        </w:rPr>
        <w:t xml:space="preserve"> </w:t>
      </w:r>
      <w:r w:rsidR="000967FA" w:rsidRPr="009B1C7B">
        <w:rPr>
          <w:rFonts w:ascii="Calibri" w:hAnsi="Calibri"/>
        </w:rPr>
        <w:t>certified</w:t>
      </w:r>
      <w:r w:rsidRPr="00B57561">
        <w:rPr>
          <w:rFonts w:ascii="Calibri" w:hAnsi="Calibri"/>
        </w:rPr>
        <w:t xml:space="preserve"> testing</w:t>
      </w:r>
      <w:r w:rsidR="000967FA" w:rsidRPr="009B1C7B">
        <w:rPr>
          <w:rFonts w:ascii="Calibri" w:hAnsi="Calibri"/>
        </w:rPr>
        <w:t xml:space="preserve"> technology</w:t>
      </w:r>
      <w:r w:rsidRPr="00B57561">
        <w:rPr>
          <w:rFonts w:ascii="Calibri" w:hAnsi="Calibri"/>
        </w:rPr>
        <w:t xml:space="preserve"> for commercial</w:t>
      </w:r>
      <w:r w:rsidRPr="009B1C7B">
        <w:rPr>
          <w:rFonts w:ascii="Calibri" w:hAnsi="Calibri"/>
        </w:rPr>
        <w:t xml:space="preserve"> </w:t>
      </w:r>
      <w:r w:rsidRPr="00B57561">
        <w:rPr>
          <w:rFonts w:ascii="Calibri" w:hAnsi="Calibri"/>
        </w:rPr>
        <w:t>VDES equipment.</w:t>
      </w:r>
    </w:p>
    <w:p w14:paraId="6C561195" w14:textId="77777777" w:rsidR="00FD24BB" w:rsidRDefault="00FD24BB">
      <w:pPr>
        <w:pStyle w:val="BodyText"/>
        <w:rPr>
          <w:rFonts w:ascii="Calibri" w:hAnsi="Calibri"/>
          <w:lang w:eastAsia="ko-KR"/>
        </w:rPr>
      </w:pPr>
    </w:p>
    <w:p w14:paraId="3CED7950" w14:textId="3D63F106" w:rsidR="00FD24BB" w:rsidRPr="003877C5" w:rsidRDefault="009B1C7B" w:rsidP="009B1C7B">
      <w:pPr>
        <w:pStyle w:val="Heading2"/>
        <w:tabs>
          <w:tab w:val="num" w:pos="851"/>
        </w:tabs>
        <w:ind w:left="851" w:hanging="851"/>
      </w:pPr>
      <w:r w:rsidRPr="009B1C7B">
        <w:t xml:space="preserve">1.1 </w:t>
      </w:r>
      <w:r w:rsidRPr="009B1C7B">
        <w:tab/>
        <w:t>Purpose of the document</w:t>
      </w:r>
    </w:p>
    <w:p w14:paraId="564D2D07" w14:textId="77777777" w:rsidR="00A01876" w:rsidRDefault="00A01876" w:rsidP="00B57561"/>
    <w:p w14:paraId="43FB447E" w14:textId="4A465648" w:rsidR="00A01876" w:rsidRPr="00B57561" w:rsidRDefault="00A01876">
      <w:pPr>
        <w:pStyle w:val="BodyText"/>
        <w:rPr>
          <w:rFonts w:ascii="Calibri" w:hAnsi="Calibri"/>
        </w:rPr>
      </w:pPr>
      <w:r w:rsidRPr="00B57561">
        <w:rPr>
          <w:rFonts w:ascii="Calibri" w:hAnsi="Calibri"/>
        </w:rPr>
        <w:t xml:space="preserve">The purpose of this document is to introduce </w:t>
      </w:r>
      <w:r w:rsidRPr="009B1C7B">
        <w:rPr>
          <w:rFonts w:ascii="Calibri" w:hAnsi="Calibri"/>
        </w:rPr>
        <w:t>‘</w:t>
      </w:r>
      <w:r w:rsidR="00710AC0" w:rsidRPr="009B1C7B">
        <w:rPr>
          <w:rFonts w:ascii="Calibri" w:hAnsi="Calibri"/>
        </w:rPr>
        <w:t xml:space="preserve">The </w:t>
      </w:r>
      <w:r w:rsidR="000967FA" w:rsidRPr="009B1C7B">
        <w:rPr>
          <w:rFonts w:ascii="Calibri" w:hAnsi="Calibri"/>
        </w:rPr>
        <w:t>Research and Development of Integrated Terrestrial-Satellite VDES System</w:t>
      </w:r>
      <w:r w:rsidRPr="00B57561">
        <w:rPr>
          <w:rFonts w:ascii="Calibri" w:hAnsi="Calibri"/>
        </w:rPr>
        <w:t>’</w:t>
      </w:r>
      <w:r w:rsidRPr="009B1C7B">
        <w:rPr>
          <w:rFonts w:ascii="Calibri" w:hAnsi="Calibri"/>
        </w:rPr>
        <w:t xml:space="preserve"> </w:t>
      </w:r>
      <w:r w:rsidRPr="00B57561">
        <w:rPr>
          <w:rFonts w:ascii="Calibri" w:hAnsi="Calibri"/>
        </w:rPr>
        <w:t xml:space="preserve">promoted by Korea and </w:t>
      </w:r>
      <w:r w:rsidRPr="009B1C7B">
        <w:rPr>
          <w:rFonts w:ascii="Calibri" w:hAnsi="Calibri"/>
        </w:rPr>
        <w:t>to ask for the participation of interested experts to listen to various opinions from IALA and the International Maritime Society.</w:t>
      </w:r>
    </w:p>
    <w:p w14:paraId="752FD359" w14:textId="77777777" w:rsidR="00FD24BB" w:rsidRDefault="00FD24BB">
      <w:pPr>
        <w:pStyle w:val="BodyText"/>
        <w:rPr>
          <w:rFonts w:ascii="Calibri" w:hAnsi="Calibri"/>
          <w:lang w:eastAsia="ko-KR"/>
        </w:rPr>
      </w:pPr>
    </w:p>
    <w:p w14:paraId="3E0A4809" w14:textId="77777777" w:rsidR="009B1C7B" w:rsidRDefault="009B1C7B">
      <w:pPr>
        <w:pStyle w:val="BodyText"/>
        <w:rPr>
          <w:rFonts w:ascii="Calibri" w:hAnsi="Calibri"/>
          <w:b/>
          <w:color w:val="0070C0"/>
          <w:sz w:val="24"/>
          <w:szCs w:val="24"/>
        </w:rPr>
      </w:pPr>
      <w:r w:rsidRPr="009B1C7B">
        <w:rPr>
          <w:rFonts w:ascii="Calibri" w:hAnsi="Calibri"/>
          <w:b/>
          <w:color w:val="0070C0"/>
          <w:sz w:val="24"/>
          <w:szCs w:val="24"/>
        </w:rPr>
        <w:t>1.2</w:t>
      </w:r>
      <w:r w:rsidRPr="009B1C7B">
        <w:rPr>
          <w:rFonts w:ascii="Calibri" w:hAnsi="Calibri"/>
          <w:b/>
          <w:color w:val="0070C0"/>
          <w:sz w:val="24"/>
          <w:szCs w:val="24"/>
        </w:rPr>
        <w:tab/>
        <w:t xml:space="preserve">Related documents </w:t>
      </w:r>
    </w:p>
    <w:p w14:paraId="1A2F0981" w14:textId="737080CE" w:rsidR="00FD24BB" w:rsidRPr="00B57561" w:rsidRDefault="006A11B9">
      <w:pPr>
        <w:pStyle w:val="BodyText"/>
        <w:rPr>
          <w:rFonts w:ascii="Calibri" w:hAnsi="Calibri"/>
          <w:lang w:val="en-US" w:eastAsia="zh-CN"/>
        </w:rPr>
      </w:pPr>
      <w:r w:rsidRPr="009B1C7B">
        <w:rPr>
          <w:rFonts w:ascii="Calibri" w:hAnsi="Calibri"/>
          <w:lang w:val="en-US" w:eastAsia="zh-CN"/>
        </w:rPr>
        <w:t>[1]</w:t>
      </w:r>
      <w:r w:rsidRPr="009B1C7B">
        <w:rPr>
          <w:rFonts w:ascii="Calibri" w:hAnsi="Calibri"/>
          <w:lang w:val="en-US" w:eastAsia="zh-CN"/>
        </w:rPr>
        <w:tab/>
      </w:r>
      <w:r w:rsidRPr="00B57561">
        <w:rPr>
          <w:rFonts w:ascii="Calibri" w:hAnsi="Calibri"/>
          <w:lang w:val="en-US" w:eastAsia="zh-CN"/>
        </w:rPr>
        <w:t xml:space="preserve">IALA GUIDELINE G.1117 </w:t>
      </w:r>
      <w:r w:rsidRPr="00B57561">
        <w:rPr>
          <w:rFonts w:ascii="Calibri" w:hAnsi="Calibri" w:hint="eastAsia"/>
          <w:lang w:val="en-US" w:eastAsia="zh-CN"/>
        </w:rPr>
        <w:t>–</w:t>
      </w:r>
      <w:r w:rsidRPr="00B57561">
        <w:rPr>
          <w:rFonts w:ascii="Calibri" w:hAnsi="Calibri"/>
          <w:lang w:val="en-US" w:eastAsia="zh-CN"/>
        </w:rPr>
        <w:t xml:space="preserve"> VHF DATA EXCHANGE SYSTEM (VDES) OVERVIEW</w:t>
      </w:r>
    </w:p>
    <w:p w14:paraId="198C4C38" w14:textId="77777777" w:rsidR="00FD24BB" w:rsidRPr="00B57561" w:rsidRDefault="006A11B9" w:rsidP="00B57561">
      <w:pPr>
        <w:pStyle w:val="BodyText"/>
        <w:ind w:left="720" w:hanging="720"/>
        <w:rPr>
          <w:rFonts w:ascii="Calibri" w:hAnsi="Calibri"/>
          <w:lang w:val="en-US" w:eastAsia="zh-CN"/>
        </w:rPr>
      </w:pPr>
      <w:r w:rsidRPr="009B1C7B">
        <w:rPr>
          <w:rFonts w:ascii="Calibri" w:hAnsi="Calibri"/>
          <w:lang w:val="en-US" w:eastAsia="zh-CN"/>
        </w:rPr>
        <w:lastRenderedPageBreak/>
        <w:t>[2]</w:t>
      </w:r>
      <w:r w:rsidRPr="009B1C7B">
        <w:rPr>
          <w:rFonts w:ascii="Calibri" w:hAnsi="Calibri"/>
          <w:lang w:val="en-US" w:eastAsia="zh-CN"/>
        </w:rPr>
        <w:tab/>
      </w:r>
      <w:r w:rsidRPr="00B57561">
        <w:rPr>
          <w:rFonts w:ascii="Calibri" w:hAnsi="Calibri"/>
          <w:lang w:val="en-US" w:eastAsia="zh-CN"/>
        </w:rPr>
        <w:t>ITU-R M.1371–5 Maritime Technical characteristics for an automatic identification system using time division multiple access in the VHF maritime mobile frequency band (AIS)</w:t>
      </w:r>
    </w:p>
    <w:p w14:paraId="3654B638" w14:textId="77777777" w:rsidR="00FD24BB" w:rsidRPr="00B57561" w:rsidRDefault="006A11B9" w:rsidP="00B57561">
      <w:pPr>
        <w:pStyle w:val="BodyText"/>
        <w:ind w:left="720" w:hanging="720"/>
        <w:rPr>
          <w:rFonts w:ascii="Calibri" w:hAnsi="Calibri"/>
          <w:lang w:val="en-US" w:eastAsia="zh-CN"/>
        </w:rPr>
      </w:pPr>
      <w:r w:rsidRPr="009B1C7B">
        <w:rPr>
          <w:rFonts w:ascii="Calibri" w:hAnsi="Calibri"/>
          <w:lang w:val="en-US" w:eastAsia="zh-CN"/>
        </w:rPr>
        <w:t>[3]</w:t>
      </w:r>
      <w:r w:rsidRPr="009B1C7B">
        <w:rPr>
          <w:rFonts w:ascii="Calibri" w:hAnsi="Calibri"/>
          <w:lang w:val="en-US" w:eastAsia="zh-CN"/>
        </w:rPr>
        <w:tab/>
      </w:r>
      <w:r w:rsidRPr="00B57561">
        <w:rPr>
          <w:rFonts w:ascii="Calibri" w:hAnsi="Calibri"/>
          <w:lang w:val="en-US" w:eastAsia="zh-CN"/>
        </w:rPr>
        <w:t>ITU-R M.2092-1 Technical characteristics for a VHF data exchange system in the VHF maritime mobile band (VDES)</w:t>
      </w:r>
    </w:p>
    <w:p w14:paraId="13930343" w14:textId="77777777" w:rsidR="00FD24BB" w:rsidRDefault="00FD24BB">
      <w:pPr>
        <w:pStyle w:val="BodyText"/>
        <w:rPr>
          <w:rFonts w:ascii="Calibri" w:hAnsi="Calibri"/>
          <w:lang w:val="en-US" w:eastAsia="ko-KR"/>
        </w:rPr>
      </w:pPr>
    </w:p>
    <w:p w14:paraId="773266D2" w14:textId="3C5DFC72" w:rsidR="00FD24BB" w:rsidRDefault="009B1C7B">
      <w:pPr>
        <w:pStyle w:val="BodyText"/>
        <w:rPr>
          <w:rFonts w:ascii="Calibri" w:hAnsi="Calibri"/>
          <w:b/>
          <w:caps/>
          <w:color w:val="0070C0"/>
          <w:kern w:val="28"/>
          <w:sz w:val="24"/>
          <w:lang w:eastAsia="de-DE"/>
        </w:rPr>
      </w:pPr>
      <w:r w:rsidRPr="009B1C7B">
        <w:rPr>
          <w:rFonts w:ascii="Calibri" w:hAnsi="Calibri"/>
          <w:b/>
          <w:caps/>
          <w:color w:val="0070C0"/>
          <w:kern w:val="28"/>
          <w:sz w:val="24"/>
          <w:lang w:eastAsia="de-DE"/>
        </w:rPr>
        <w:t>2</w:t>
      </w:r>
      <w:r w:rsidRPr="009B1C7B">
        <w:rPr>
          <w:rFonts w:ascii="Calibri" w:hAnsi="Calibri"/>
          <w:b/>
          <w:caps/>
          <w:color w:val="0070C0"/>
          <w:kern w:val="28"/>
          <w:sz w:val="24"/>
          <w:lang w:eastAsia="de-DE"/>
        </w:rPr>
        <w:tab/>
      </w:r>
      <w:proofErr w:type="gramStart"/>
      <w:r w:rsidRPr="009B1C7B">
        <w:rPr>
          <w:rFonts w:ascii="Calibri" w:hAnsi="Calibri"/>
          <w:b/>
          <w:caps/>
          <w:color w:val="0070C0"/>
          <w:kern w:val="28"/>
          <w:sz w:val="24"/>
          <w:lang w:eastAsia="de-DE"/>
        </w:rPr>
        <w:t>BACKGROUND</w:t>
      </w:r>
      <w:proofErr w:type="gramEnd"/>
    </w:p>
    <w:p w14:paraId="2746B305" w14:textId="77777777" w:rsidR="009B1C7B" w:rsidRDefault="009B1C7B">
      <w:pPr>
        <w:pStyle w:val="BodyText"/>
        <w:rPr>
          <w:rFonts w:ascii="Calibri" w:hAnsi="Calibri"/>
          <w:b/>
          <w:caps/>
          <w:color w:val="0070C0"/>
          <w:kern w:val="28"/>
          <w:sz w:val="24"/>
          <w:lang w:eastAsia="de-DE"/>
        </w:rPr>
      </w:pPr>
    </w:p>
    <w:p w14:paraId="17B0DD97" w14:textId="203E292F" w:rsidR="00A01876" w:rsidRPr="009B1C7B" w:rsidRDefault="00A01876">
      <w:pPr>
        <w:pStyle w:val="BodyText"/>
        <w:rPr>
          <w:rFonts w:ascii="Calibri" w:hAnsi="Calibri"/>
        </w:rPr>
      </w:pPr>
      <w:r w:rsidRPr="00B57561">
        <w:rPr>
          <w:rFonts w:ascii="Calibri" w:hAnsi="Calibri"/>
        </w:rPr>
        <w:t xml:space="preserve">Since the release of "Technical Details and Guidelines for VDES Implementation" at the IALA e-Nav Committee in April 2014, various </w:t>
      </w:r>
      <w:r w:rsidR="003A48F5" w:rsidRPr="009B1C7B">
        <w:rPr>
          <w:rFonts w:ascii="Calibri" w:hAnsi="Calibri"/>
        </w:rPr>
        <w:t>research</w:t>
      </w:r>
      <w:r w:rsidRPr="00B57561">
        <w:rPr>
          <w:rFonts w:ascii="Calibri" w:hAnsi="Calibri"/>
        </w:rPr>
        <w:t xml:space="preserve"> </w:t>
      </w:r>
      <w:r w:rsidR="003A48F5" w:rsidRPr="009B1C7B">
        <w:rPr>
          <w:rFonts w:ascii="Calibri" w:hAnsi="Calibri"/>
        </w:rPr>
        <w:t>has</w:t>
      </w:r>
      <w:r w:rsidRPr="00B57561">
        <w:rPr>
          <w:rFonts w:ascii="Calibri" w:hAnsi="Calibri"/>
        </w:rPr>
        <w:t xml:space="preserve"> been conducted as</w:t>
      </w:r>
      <w:r w:rsidR="000967FA" w:rsidRPr="009B1C7B">
        <w:rPr>
          <w:rFonts w:ascii="Calibri" w:hAnsi="Calibri"/>
        </w:rPr>
        <w:t xml:space="preserve"> VDES’s role in promoting </w:t>
      </w:r>
      <w:r w:rsidR="003A48F5" w:rsidRPr="009B1C7B">
        <w:rPr>
          <w:rFonts w:ascii="Calibri" w:hAnsi="Calibri"/>
        </w:rPr>
        <w:t xml:space="preserve">the </w:t>
      </w:r>
      <w:r w:rsidR="000967FA" w:rsidRPr="009B1C7B">
        <w:rPr>
          <w:rFonts w:ascii="Calibri" w:hAnsi="Calibri"/>
        </w:rPr>
        <w:t>safety of navigation has become clearer.</w:t>
      </w:r>
      <w:r w:rsidRPr="00B57561">
        <w:rPr>
          <w:rFonts w:ascii="Calibri" w:hAnsi="Calibri"/>
        </w:rPr>
        <w:t xml:space="preserve"> </w:t>
      </w:r>
      <w:r w:rsidR="000967FA" w:rsidRPr="009B1C7B">
        <w:rPr>
          <w:rFonts w:ascii="Calibri" w:hAnsi="Calibri"/>
        </w:rPr>
        <w:t>Accordingly</w:t>
      </w:r>
      <w:r w:rsidRPr="009B1C7B">
        <w:rPr>
          <w:rFonts w:ascii="Calibri" w:hAnsi="Calibri"/>
        </w:rPr>
        <w:t>, ITU</w:t>
      </w:r>
      <w:r w:rsidR="000967FA" w:rsidRPr="009B1C7B">
        <w:rPr>
          <w:rFonts w:ascii="Calibri" w:hAnsi="Calibri"/>
        </w:rPr>
        <w:t xml:space="preserve"> Recommendation </w:t>
      </w:r>
      <w:r w:rsidRPr="009B1C7B">
        <w:rPr>
          <w:rFonts w:ascii="Calibri" w:hAnsi="Calibri"/>
        </w:rPr>
        <w:t>M.2092-1 (2022.02)</w:t>
      </w:r>
      <w:r w:rsidR="000967FA" w:rsidRPr="009B1C7B">
        <w:rPr>
          <w:rFonts w:ascii="Calibri" w:hAnsi="Calibri"/>
        </w:rPr>
        <w:t>,</w:t>
      </w:r>
      <w:r w:rsidRPr="009B1C7B">
        <w:rPr>
          <w:rFonts w:ascii="Calibri" w:hAnsi="Calibri"/>
        </w:rPr>
        <w:t xml:space="preserve"> Technical characteristics for a VHF data exchange system in the VHF maritime mobile band </w:t>
      </w:r>
      <w:r w:rsidR="000967FA" w:rsidRPr="009B1C7B">
        <w:rPr>
          <w:rFonts w:ascii="Calibri" w:hAnsi="Calibri"/>
        </w:rPr>
        <w:t>and</w:t>
      </w:r>
      <w:r w:rsidRPr="009B1C7B">
        <w:rPr>
          <w:rFonts w:ascii="Calibri" w:hAnsi="Calibri"/>
        </w:rPr>
        <w:t xml:space="preserve"> I</w:t>
      </w:r>
      <w:r w:rsidR="000967FA" w:rsidRPr="009B1C7B">
        <w:rPr>
          <w:rFonts w:ascii="Calibri" w:hAnsi="Calibri"/>
        </w:rPr>
        <w:t>A</w:t>
      </w:r>
      <w:r w:rsidRPr="009B1C7B">
        <w:rPr>
          <w:rFonts w:ascii="Calibri" w:hAnsi="Calibri"/>
        </w:rPr>
        <w:t>LA G</w:t>
      </w:r>
      <w:r w:rsidR="000967FA" w:rsidRPr="009B1C7B">
        <w:rPr>
          <w:rFonts w:ascii="Calibri" w:hAnsi="Calibri"/>
        </w:rPr>
        <w:t>uideline</w:t>
      </w:r>
      <w:r w:rsidRPr="009B1C7B">
        <w:rPr>
          <w:rFonts w:ascii="Calibri" w:hAnsi="Calibri"/>
        </w:rPr>
        <w:t xml:space="preserve"> G</w:t>
      </w:r>
      <w:r w:rsidR="000967FA" w:rsidRPr="009B1C7B">
        <w:rPr>
          <w:rFonts w:ascii="Calibri" w:hAnsi="Calibri"/>
        </w:rPr>
        <w:t>.</w:t>
      </w:r>
      <w:r w:rsidRPr="009B1C7B">
        <w:rPr>
          <w:rFonts w:ascii="Calibri" w:hAnsi="Calibri"/>
        </w:rPr>
        <w:t>1117 VDES</w:t>
      </w:r>
      <w:r w:rsidR="000967FA" w:rsidRPr="009B1C7B">
        <w:rPr>
          <w:rFonts w:ascii="Calibri" w:hAnsi="Calibri"/>
        </w:rPr>
        <w:t xml:space="preserve"> Overview</w:t>
      </w:r>
      <w:r w:rsidR="003A48F5" w:rsidRPr="009B1C7B">
        <w:rPr>
          <w:rFonts w:ascii="Calibri" w:hAnsi="Calibri"/>
        </w:rPr>
        <w:t xml:space="preserve"> Edition 3.0(2022.12)</w:t>
      </w:r>
      <w:r w:rsidRPr="009B1C7B">
        <w:rPr>
          <w:rFonts w:ascii="Calibri" w:hAnsi="Calibri"/>
        </w:rPr>
        <w:t>, were revised</w:t>
      </w:r>
      <w:r w:rsidR="000967FA" w:rsidRPr="009B1C7B">
        <w:rPr>
          <w:rFonts w:ascii="Calibri" w:hAnsi="Calibri"/>
        </w:rPr>
        <w:t>.</w:t>
      </w:r>
    </w:p>
    <w:p w14:paraId="62B13157" w14:textId="1F14083C" w:rsidR="00A01876" w:rsidRPr="009B1C7B" w:rsidRDefault="003A48F5">
      <w:pPr>
        <w:pStyle w:val="BodyText"/>
        <w:rPr>
          <w:rFonts w:ascii="Calibri" w:hAnsi="Calibri"/>
        </w:rPr>
      </w:pPr>
      <w:r w:rsidRPr="009B1C7B">
        <w:rPr>
          <w:rFonts w:ascii="Calibri" w:hAnsi="Calibri"/>
        </w:rPr>
        <w:t>At the 10</w:t>
      </w:r>
      <w:r w:rsidRPr="009B1C7B">
        <w:rPr>
          <w:rFonts w:ascii="Calibri" w:hAnsi="Calibri" w:hint="eastAsia"/>
        </w:rPr>
        <w:t>t</w:t>
      </w:r>
      <w:r w:rsidRPr="009B1C7B">
        <w:rPr>
          <w:rFonts w:ascii="Calibri" w:hAnsi="Calibri"/>
        </w:rPr>
        <w:t xml:space="preserve">h NCSR meeting on May 2023, it was agreed that the work to amend SOLAS to reflect that VDES can replace AIS should be prioritized. It was also agreed that the inclusion of VDES as a new GMDSS compartment needs to be discussed continuously and thoroughly. The revision of SOLAS and related working documents are expected to be finalized at the 11th NCSR </w:t>
      </w:r>
      <w:proofErr w:type="gramStart"/>
      <w:r w:rsidRPr="009B1C7B">
        <w:rPr>
          <w:rFonts w:ascii="Calibri" w:hAnsi="Calibri"/>
        </w:rPr>
        <w:t>meeting(</w:t>
      </w:r>
      <w:proofErr w:type="gramEnd"/>
      <w:r w:rsidRPr="009B1C7B">
        <w:rPr>
          <w:rFonts w:ascii="Calibri" w:hAnsi="Calibri"/>
        </w:rPr>
        <w:t xml:space="preserve">June 2024, provisional). </w:t>
      </w:r>
    </w:p>
    <w:p w14:paraId="43ACC17E" w14:textId="5662DE28" w:rsidR="003A48F5" w:rsidRPr="009B1C7B" w:rsidRDefault="003A48F5">
      <w:pPr>
        <w:pStyle w:val="BodyText"/>
        <w:rPr>
          <w:rFonts w:ascii="Calibri" w:hAnsi="Calibri"/>
        </w:rPr>
      </w:pPr>
      <w:proofErr w:type="gramStart"/>
      <w:r w:rsidRPr="009B1C7B">
        <w:rPr>
          <w:rFonts w:ascii="Calibri" w:hAnsi="Calibri"/>
        </w:rPr>
        <w:t>Thus</w:t>
      </w:r>
      <w:proofErr w:type="gramEnd"/>
      <w:r w:rsidRPr="009B1C7B">
        <w:rPr>
          <w:rFonts w:ascii="Calibri" w:hAnsi="Calibri"/>
        </w:rPr>
        <w:t xml:space="preserve"> in order to prepare for the infrastructure replacement and reestablishment that will follow the revision of SOLAS, the government of the Republic of Korea decided to invest in the development of domestic VDE-TER and VDE-SAT equipment and operation technologies necessary for the application of maritime services through VDES. </w:t>
      </w:r>
    </w:p>
    <w:p w14:paraId="2C3772DF" w14:textId="0B03E970" w:rsidR="003A48F5" w:rsidRPr="00B57561" w:rsidRDefault="003A48F5">
      <w:pPr>
        <w:pStyle w:val="BodyText"/>
        <w:rPr>
          <w:rFonts w:ascii="Malgun Gothic" w:eastAsia="Malgun Gothic" w:hAnsi="Malgun Gothic"/>
          <w:lang w:eastAsia="ko-KR"/>
        </w:rPr>
      </w:pPr>
    </w:p>
    <w:p w14:paraId="314A9079" w14:textId="77777777" w:rsidR="00FD24BB" w:rsidRDefault="00FD24BB">
      <w:pPr>
        <w:pStyle w:val="BodyText"/>
        <w:rPr>
          <w:rFonts w:ascii="Calibri" w:hAnsi="Calibri"/>
          <w:lang w:eastAsia="ko-KR"/>
        </w:rPr>
      </w:pPr>
    </w:p>
    <w:p w14:paraId="2D6C6263" w14:textId="77777777" w:rsidR="009B1C7B" w:rsidRDefault="009B1C7B" w:rsidP="009B1C7B">
      <w:pPr>
        <w:pStyle w:val="Heading1"/>
      </w:pPr>
      <w:r>
        <w:t>3</w:t>
      </w:r>
      <w:r w:rsidRPr="009B1C7B">
        <w:tab/>
      </w:r>
      <w:r>
        <w:t>brief introduction of the project</w:t>
      </w:r>
    </w:p>
    <w:p w14:paraId="0FDF5B00" w14:textId="7107A7A8" w:rsidR="00FD24BB" w:rsidRPr="00B57561" w:rsidRDefault="009B1C7B" w:rsidP="009B1C7B">
      <w:pPr>
        <w:pStyle w:val="Heading1"/>
        <w:rPr>
          <w:rFonts w:ascii="Malgun Gothic" w:eastAsia="Malgun Gothic" w:hAnsi="Malgun Gothic"/>
          <w:color w:val="auto"/>
          <w:lang w:eastAsia="ko-KR"/>
        </w:rPr>
      </w:pPr>
      <w:r w:rsidRPr="009B1C7B">
        <w:t>3.1</w:t>
      </w:r>
      <w:r w:rsidRPr="009B1C7B">
        <w:tab/>
      </w:r>
      <w:r>
        <w:t>Part 1 of the VDES R&amp;D PROJECT</w:t>
      </w:r>
    </w:p>
    <w:p w14:paraId="126E58E9" w14:textId="7BE058D0" w:rsidR="00FD24BB" w:rsidRPr="00A856DD" w:rsidRDefault="006F4513">
      <w:pPr>
        <w:pStyle w:val="BodyText"/>
        <w:rPr>
          <w:rFonts w:ascii="Calibri" w:hAnsi="Calibri"/>
          <w:lang w:eastAsia="de-DE"/>
        </w:rPr>
      </w:pPr>
      <w:r w:rsidRPr="00A856DD">
        <w:rPr>
          <w:rFonts w:ascii="Calibri" w:hAnsi="Calibri"/>
          <w:lang w:eastAsia="de-DE"/>
        </w:rPr>
        <w:t xml:space="preserve">The main objectives of part </w:t>
      </w:r>
      <w:proofErr w:type="gramStart"/>
      <w:r w:rsidRPr="00A856DD">
        <w:rPr>
          <w:rFonts w:ascii="Calibri" w:hAnsi="Calibri"/>
          <w:lang w:eastAsia="de-DE"/>
        </w:rPr>
        <w:t>one(</w:t>
      </w:r>
      <w:proofErr w:type="gramEnd"/>
      <w:r w:rsidRPr="00A856DD">
        <w:rPr>
          <w:rFonts w:ascii="Calibri" w:hAnsi="Calibri"/>
          <w:lang w:eastAsia="de-DE"/>
        </w:rPr>
        <w:t>1) of the VDES R&amp;D project</w:t>
      </w:r>
      <w:r w:rsidR="004E66D0" w:rsidRPr="00A856DD">
        <w:rPr>
          <w:rFonts w:ascii="Calibri" w:hAnsi="Calibri"/>
          <w:lang w:eastAsia="de-DE"/>
        </w:rPr>
        <w:t>, the development of VDES communication technology and infrastructure,</w:t>
      </w:r>
      <w:r w:rsidRPr="00A856DD">
        <w:rPr>
          <w:rFonts w:ascii="Calibri" w:hAnsi="Calibri"/>
          <w:lang w:eastAsia="de-DE"/>
        </w:rPr>
        <w:t xml:space="preserve"> </w:t>
      </w:r>
      <w:r w:rsidR="009B1C7B" w:rsidRPr="00A856DD">
        <w:rPr>
          <w:rFonts w:ascii="Calibri" w:hAnsi="Calibri"/>
          <w:lang w:eastAsia="de-DE"/>
        </w:rPr>
        <w:t>are</w:t>
      </w:r>
      <w:r w:rsidRPr="00A856DD">
        <w:rPr>
          <w:rFonts w:ascii="Calibri" w:hAnsi="Calibri"/>
          <w:lang w:eastAsia="de-DE"/>
        </w:rPr>
        <w:t xml:space="preserve"> as follows.  </w:t>
      </w:r>
    </w:p>
    <w:p w14:paraId="10EFCF99" w14:textId="4FB79ECF" w:rsidR="009B1C7B" w:rsidRPr="00A856DD" w:rsidRDefault="009B1C7B">
      <w:pPr>
        <w:pStyle w:val="BodyText"/>
        <w:rPr>
          <w:rFonts w:ascii="Calibri" w:hAnsi="Calibri"/>
          <w:lang w:eastAsia="ko-KR"/>
        </w:rPr>
      </w:pPr>
      <w:r w:rsidRPr="00A856DD">
        <w:rPr>
          <w:rFonts w:ascii="Calibri" w:hAnsi="Calibri"/>
          <w:lang w:eastAsia="ko-KR"/>
        </w:rPr>
        <w:t>3.1.1</w:t>
      </w:r>
      <w:r w:rsidRPr="00A856DD">
        <w:rPr>
          <w:rFonts w:ascii="Calibri" w:hAnsi="Calibri"/>
          <w:lang w:eastAsia="ko-KR"/>
        </w:rPr>
        <w:tab/>
      </w:r>
      <w:r w:rsidR="00A856DD" w:rsidRPr="00A856DD">
        <w:rPr>
          <w:rFonts w:ascii="Calibri" w:hAnsi="Calibri"/>
          <w:lang w:eastAsia="ko-KR"/>
        </w:rPr>
        <w:t xml:space="preserve">Development of </w:t>
      </w:r>
      <w:r w:rsidR="008424FC">
        <w:rPr>
          <w:rFonts w:ascii="Calibri" w:hAnsi="Calibri"/>
          <w:lang w:eastAsia="ko-KR"/>
        </w:rPr>
        <w:t>FPGA-based</w:t>
      </w:r>
      <w:r w:rsidR="00A856DD" w:rsidRPr="00A856DD">
        <w:rPr>
          <w:rFonts w:ascii="Calibri" w:hAnsi="Calibri"/>
          <w:lang w:eastAsia="ko-KR"/>
        </w:rPr>
        <w:t xml:space="preserve"> AIS/ASM/VDE modem</w:t>
      </w:r>
    </w:p>
    <w:p w14:paraId="2E696C23" w14:textId="52545140" w:rsidR="006F4513" w:rsidRPr="00B57561" w:rsidRDefault="006F4513">
      <w:pPr>
        <w:pStyle w:val="BodyText"/>
        <w:rPr>
          <w:rFonts w:ascii="Calibri" w:hAnsi="Calibri"/>
          <w:lang w:eastAsia="de-DE"/>
        </w:rPr>
      </w:pPr>
      <w:r w:rsidRPr="00A856DD">
        <w:rPr>
          <w:rFonts w:ascii="Calibri" w:hAnsi="Calibri"/>
          <w:lang w:eastAsia="de-DE"/>
        </w:rPr>
        <w:t>This part of</w:t>
      </w:r>
      <w:r w:rsidR="00656D31" w:rsidRPr="00A856DD">
        <w:rPr>
          <w:rFonts w:ascii="Calibri" w:hAnsi="Calibri"/>
          <w:lang w:eastAsia="de-DE"/>
        </w:rPr>
        <w:t xml:space="preserve"> the</w:t>
      </w:r>
      <w:r w:rsidRPr="00A856DD">
        <w:rPr>
          <w:rFonts w:ascii="Calibri" w:hAnsi="Calibri"/>
          <w:lang w:eastAsia="de-DE"/>
        </w:rPr>
        <w:t xml:space="preserve"> research includes the block design of the following representative physical layers related to AIS, ASM, VDE-TER</w:t>
      </w:r>
      <w:r w:rsidR="008424FC">
        <w:rPr>
          <w:rFonts w:ascii="Calibri" w:hAnsi="Calibri"/>
          <w:lang w:eastAsia="de-DE"/>
        </w:rPr>
        <w:t>,</w:t>
      </w:r>
      <w:r w:rsidRPr="00A856DD">
        <w:rPr>
          <w:rFonts w:ascii="Calibri" w:hAnsi="Calibri"/>
          <w:lang w:eastAsia="de-DE"/>
        </w:rPr>
        <w:t xml:space="preserve"> and VDE-SAT communication technologies in a single FPGA chipset:</w:t>
      </w:r>
    </w:p>
    <w:p w14:paraId="200A688F" w14:textId="29CBDE5E" w:rsidR="006F4513" w:rsidRPr="00A856DD" w:rsidRDefault="006F4513" w:rsidP="00A856DD">
      <w:pPr>
        <w:pStyle w:val="List1"/>
        <w:numPr>
          <w:ilvl w:val="0"/>
          <w:numId w:val="21"/>
        </w:numPr>
        <w:tabs>
          <w:tab w:val="num" w:pos="567"/>
        </w:tabs>
        <w:ind w:left="567" w:hanging="567"/>
        <w:rPr>
          <w:rFonts w:ascii="Calibri" w:hAnsi="Calibri"/>
        </w:rPr>
      </w:pPr>
      <w:r w:rsidRPr="00A856DD">
        <w:rPr>
          <w:rFonts w:ascii="Calibri" w:hAnsi="Calibri" w:hint="eastAsia"/>
        </w:rPr>
        <w:t>M</w:t>
      </w:r>
      <w:r w:rsidRPr="00A856DD">
        <w:rPr>
          <w:rFonts w:ascii="Calibri" w:hAnsi="Calibri"/>
        </w:rPr>
        <w:t>AC block interface for TDMA multiple access</w:t>
      </w:r>
    </w:p>
    <w:p w14:paraId="3FC4DC2B" w14:textId="1F3F28D6" w:rsidR="006F4513" w:rsidRPr="00A856DD" w:rsidRDefault="006F4513" w:rsidP="00A856DD">
      <w:pPr>
        <w:pStyle w:val="List1"/>
        <w:numPr>
          <w:ilvl w:val="0"/>
          <w:numId w:val="21"/>
        </w:numPr>
        <w:tabs>
          <w:tab w:val="num" w:pos="567"/>
        </w:tabs>
        <w:ind w:left="567" w:hanging="567"/>
        <w:rPr>
          <w:rFonts w:ascii="Calibri" w:hAnsi="Calibri"/>
        </w:rPr>
      </w:pPr>
      <w:r w:rsidRPr="00B57561">
        <w:rPr>
          <w:rFonts w:ascii="Calibri" w:hAnsi="Calibri"/>
        </w:rPr>
        <w:t xml:space="preserve">GMSK, </w:t>
      </w:r>
      <w:r w:rsidRPr="00B57561">
        <w:rPr>
          <w:rFonts w:ascii="Calibri" w:hAnsi="Calibri" w:hint="eastAsia"/>
        </w:rPr>
        <w:t>π</w:t>
      </w:r>
      <w:r w:rsidRPr="00B57561">
        <w:rPr>
          <w:rFonts w:ascii="Calibri" w:hAnsi="Calibri"/>
        </w:rPr>
        <w:t>/4-QPSK, BPSK/CDMA, 8-PSK, 16-QAM encoder/decoder</w:t>
      </w:r>
      <w:r w:rsidRPr="00A856DD">
        <w:rPr>
          <w:rFonts w:ascii="Calibri" w:hAnsi="Calibri"/>
        </w:rPr>
        <w:t xml:space="preserve"> and internal register</w:t>
      </w:r>
    </w:p>
    <w:p w14:paraId="4BC8C1F7" w14:textId="6B5135FA" w:rsidR="006F4513" w:rsidRPr="00A856DD" w:rsidRDefault="006A11B9" w:rsidP="00A856DD">
      <w:pPr>
        <w:pStyle w:val="List1"/>
        <w:numPr>
          <w:ilvl w:val="0"/>
          <w:numId w:val="21"/>
        </w:numPr>
        <w:tabs>
          <w:tab w:val="num" w:pos="567"/>
        </w:tabs>
        <w:ind w:left="567" w:hanging="567"/>
        <w:rPr>
          <w:rFonts w:ascii="Calibri" w:hAnsi="Calibri"/>
        </w:rPr>
      </w:pPr>
      <w:r w:rsidRPr="00A856DD">
        <w:rPr>
          <w:rFonts w:ascii="Calibri" w:hAnsi="Calibri" w:hint="eastAsia"/>
        </w:rPr>
        <w:t>D</w:t>
      </w:r>
      <w:r w:rsidRPr="00B57561">
        <w:rPr>
          <w:rFonts w:ascii="Calibri" w:hAnsi="Calibri"/>
        </w:rPr>
        <w:t xml:space="preserve">ata packet framer </w:t>
      </w:r>
      <w:r w:rsidR="006F4513" w:rsidRPr="00A856DD">
        <w:rPr>
          <w:rFonts w:ascii="Calibri" w:hAnsi="Calibri" w:hint="eastAsia"/>
        </w:rPr>
        <w:t>a</w:t>
      </w:r>
      <w:r w:rsidR="006F4513" w:rsidRPr="00A856DD">
        <w:rPr>
          <w:rFonts w:ascii="Calibri" w:hAnsi="Calibri"/>
        </w:rPr>
        <w:t>nd</w:t>
      </w:r>
      <w:r w:rsidRPr="00B57561">
        <w:rPr>
          <w:rFonts w:ascii="Calibri" w:hAnsi="Calibri"/>
        </w:rPr>
        <w:t xml:space="preserve"> timing controller</w:t>
      </w:r>
    </w:p>
    <w:p w14:paraId="275FA6A5" w14:textId="08BD92E7" w:rsidR="00FD24BB" w:rsidRPr="006A11B9" w:rsidRDefault="006F4513" w:rsidP="00A856DD">
      <w:pPr>
        <w:pStyle w:val="List1"/>
        <w:numPr>
          <w:ilvl w:val="0"/>
          <w:numId w:val="21"/>
        </w:numPr>
        <w:tabs>
          <w:tab w:val="num" w:pos="567"/>
        </w:tabs>
        <w:ind w:left="567" w:hanging="567"/>
        <w:rPr>
          <w:rFonts w:ascii="Calibri" w:hAnsi="Calibri"/>
          <w:lang w:val="fr-FR"/>
        </w:rPr>
      </w:pPr>
      <w:r w:rsidRPr="00B57561">
        <w:rPr>
          <w:rFonts w:ascii="Calibri" w:hAnsi="Calibri"/>
          <w:lang w:val="fr-FR"/>
        </w:rPr>
        <w:t>NRZI encoder/</w:t>
      </w:r>
      <w:proofErr w:type="spellStart"/>
      <w:r w:rsidRPr="00B57561">
        <w:rPr>
          <w:rFonts w:ascii="Calibri" w:hAnsi="Calibri"/>
          <w:lang w:val="fr-FR"/>
        </w:rPr>
        <w:t>decoder</w:t>
      </w:r>
      <w:proofErr w:type="spellEnd"/>
      <w:r w:rsidR="007E07BD" w:rsidRPr="006A11B9">
        <w:rPr>
          <w:rFonts w:ascii="Calibri" w:hAnsi="Calibri"/>
          <w:lang w:val="fr-FR"/>
        </w:rPr>
        <w:t>,</w:t>
      </w:r>
      <w:r w:rsidRPr="006A11B9">
        <w:rPr>
          <w:rFonts w:ascii="Calibri" w:hAnsi="Calibri"/>
          <w:lang w:val="fr-FR"/>
        </w:rPr>
        <w:t xml:space="preserve"> 2 Channel</w:t>
      </w:r>
      <w:r w:rsidRPr="00B57561">
        <w:rPr>
          <w:rFonts w:ascii="Calibri" w:hAnsi="Calibri"/>
          <w:lang w:val="fr-FR"/>
        </w:rPr>
        <w:t xml:space="preserve"> RSC</w:t>
      </w:r>
      <w:r w:rsidRPr="006A11B9">
        <w:rPr>
          <w:rFonts w:ascii="Calibri" w:hAnsi="Calibri"/>
          <w:lang w:val="fr-FR"/>
        </w:rPr>
        <w:t>-</w:t>
      </w:r>
      <w:proofErr w:type="spellStart"/>
      <w:r w:rsidRPr="006A11B9">
        <w:rPr>
          <w:rFonts w:ascii="Calibri" w:hAnsi="Calibri"/>
          <w:lang w:val="fr-FR"/>
        </w:rPr>
        <w:t>based</w:t>
      </w:r>
      <w:proofErr w:type="spellEnd"/>
      <w:r w:rsidRPr="00B57561">
        <w:rPr>
          <w:rFonts w:ascii="Calibri" w:hAnsi="Calibri"/>
          <w:lang w:val="fr-FR"/>
        </w:rPr>
        <w:t xml:space="preserve"> turbo encoder/</w:t>
      </w:r>
      <w:proofErr w:type="spellStart"/>
      <w:r w:rsidRPr="00B57561">
        <w:rPr>
          <w:rFonts w:ascii="Calibri" w:hAnsi="Calibri"/>
          <w:lang w:val="fr-FR"/>
        </w:rPr>
        <w:t>decoder</w:t>
      </w:r>
      <w:proofErr w:type="spellEnd"/>
      <w:r w:rsidR="007E07BD" w:rsidRPr="006A11B9">
        <w:rPr>
          <w:rFonts w:ascii="Calibri" w:hAnsi="Calibri"/>
          <w:lang w:val="fr-FR"/>
        </w:rPr>
        <w:t xml:space="preserve">, </w:t>
      </w:r>
      <w:proofErr w:type="spellStart"/>
      <w:r w:rsidR="007E07BD" w:rsidRPr="006A11B9">
        <w:rPr>
          <w:rFonts w:ascii="Calibri" w:hAnsi="Calibri" w:hint="eastAsia"/>
          <w:lang w:val="fr-FR"/>
        </w:rPr>
        <w:t>s</w:t>
      </w:r>
      <w:r w:rsidR="007E07BD" w:rsidRPr="006A11B9">
        <w:rPr>
          <w:rFonts w:ascii="Calibri" w:hAnsi="Calibri"/>
          <w:lang w:val="fr-FR"/>
        </w:rPr>
        <w:t>crambler</w:t>
      </w:r>
      <w:proofErr w:type="spellEnd"/>
      <w:r w:rsidR="007E07BD" w:rsidRPr="006A11B9">
        <w:rPr>
          <w:rFonts w:ascii="Calibri" w:hAnsi="Calibri"/>
          <w:lang w:val="fr-FR"/>
        </w:rPr>
        <w:t>/de-</w:t>
      </w:r>
      <w:proofErr w:type="spellStart"/>
      <w:r w:rsidR="007E07BD" w:rsidRPr="006A11B9">
        <w:rPr>
          <w:rFonts w:ascii="Calibri" w:hAnsi="Calibri"/>
          <w:lang w:val="fr-FR"/>
        </w:rPr>
        <w:t>scrambler</w:t>
      </w:r>
      <w:proofErr w:type="spellEnd"/>
    </w:p>
    <w:p w14:paraId="1EA8B4D1" w14:textId="77777777" w:rsidR="007E07BD" w:rsidRPr="00A856DD" w:rsidRDefault="006F4513" w:rsidP="00A856DD">
      <w:pPr>
        <w:pStyle w:val="List1"/>
        <w:numPr>
          <w:ilvl w:val="0"/>
          <w:numId w:val="21"/>
        </w:numPr>
        <w:tabs>
          <w:tab w:val="num" w:pos="567"/>
        </w:tabs>
        <w:ind w:left="567" w:hanging="567"/>
        <w:rPr>
          <w:rFonts w:ascii="Calibri" w:hAnsi="Calibri"/>
        </w:rPr>
      </w:pPr>
      <w:r w:rsidRPr="00A856DD">
        <w:rPr>
          <w:rFonts w:ascii="Calibri" w:hAnsi="Calibri"/>
        </w:rPr>
        <w:t>LPF and interpolator for transmitter output of spectrum mask shaping</w:t>
      </w:r>
    </w:p>
    <w:p w14:paraId="25A94FC1" w14:textId="6519824D" w:rsidR="00656D31" w:rsidRPr="00A856DD" w:rsidRDefault="00656D31" w:rsidP="00A856DD">
      <w:pPr>
        <w:pStyle w:val="List1"/>
        <w:numPr>
          <w:ilvl w:val="0"/>
          <w:numId w:val="21"/>
        </w:numPr>
        <w:tabs>
          <w:tab w:val="num" w:pos="567"/>
        </w:tabs>
        <w:ind w:left="567" w:hanging="567"/>
        <w:rPr>
          <w:rFonts w:ascii="Calibri" w:hAnsi="Calibri"/>
        </w:rPr>
      </w:pPr>
      <w:r w:rsidRPr="00A856DD">
        <w:rPr>
          <w:rFonts w:ascii="Calibri" w:hAnsi="Calibri"/>
        </w:rPr>
        <w:t xml:space="preserve">AGC circuit and RSSI measuring circuit through AFE part control of RF </w:t>
      </w:r>
      <w:proofErr w:type="gramStart"/>
      <w:r w:rsidRPr="00A856DD">
        <w:rPr>
          <w:rFonts w:ascii="Calibri" w:hAnsi="Calibri"/>
        </w:rPr>
        <w:t>block</w:t>
      </w:r>
      <w:proofErr w:type="gramEnd"/>
    </w:p>
    <w:p w14:paraId="2D39BD2A" w14:textId="26B23FD3" w:rsidR="00656D31" w:rsidRPr="00A856DD" w:rsidRDefault="00656D31" w:rsidP="00A856DD">
      <w:pPr>
        <w:pStyle w:val="List1"/>
        <w:numPr>
          <w:ilvl w:val="0"/>
          <w:numId w:val="21"/>
        </w:numPr>
        <w:tabs>
          <w:tab w:val="num" w:pos="567"/>
        </w:tabs>
        <w:ind w:left="567" w:hanging="567"/>
        <w:rPr>
          <w:rFonts w:ascii="Calibri" w:hAnsi="Calibri"/>
        </w:rPr>
      </w:pPr>
      <w:r w:rsidRPr="00A856DD">
        <w:rPr>
          <w:rFonts w:ascii="Calibri" w:hAnsi="Calibri"/>
        </w:rPr>
        <w:t>Symbol(bit) timing recovery for phase control of ADC sampling clock</w:t>
      </w:r>
    </w:p>
    <w:p w14:paraId="21DC0EB6" w14:textId="6EA4CF11" w:rsidR="00656D31" w:rsidRPr="00A856DD" w:rsidRDefault="00656D31" w:rsidP="00A856DD">
      <w:pPr>
        <w:pStyle w:val="List1"/>
        <w:numPr>
          <w:ilvl w:val="0"/>
          <w:numId w:val="21"/>
        </w:numPr>
        <w:tabs>
          <w:tab w:val="num" w:pos="567"/>
        </w:tabs>
        <w:ind w:left="567" w:hanging="567"/>
        <w:rPr>
          <w:rFonts w:ascii="Calibri" w:hAnsi="Calibri"/>
        </w:rPr>
      </w:pPr>
      <w:r w:rsidRPr="00A856DD">
        <w:rPr>
          <w:rFonts w:ascii="Calibri" w:hAnsi="Calibri"/>
        </w:rPr>
        <w:t xml:space="preserve">Frequency offset estimator for phase offset rejection and frequency of received </w:t>
      </w:r>
      <w:proofErr w:type="gramStart"/>
      <w:r w:rsidRPr="00A856DD">
        <w:rPr>
          <w:rFonts w:ascii="Calibri" w:hAnsi="Calibri"/>
        </w:rPr>
        <w:t>signal</w:t>
      </w:r>
      <w:proofErr w:type="gramEnd"/>
    </w:p>
    <w:p w14:paraId="6A901447" w14:textId="2416E94B" w:rsidR="00656D31" w:rsidRPr="00B57561" w:rsidRDefault="00656D31">
      <w:pPr>
        <w:pStyle w:val="BodyText"/>
        <w:rPr>
          <w:rFonts w:ascii="Calibri" w:hAnsi="Calibri"/>
          <w:lang w:eastAsia="de-DE"/>
        </w:rPr>
      </w:pPr>
      <w:r w:rsidRPr="00A856DD">
        <w:rPr>
          <w:rFonts w:ascii="Calibri" w:hAnsi="Calibri"/>
          <w:lang w:eastAsia="de-DE"/>
        </w:rPr>
        <w:t xml:space="preserve">This part of the research will be carried out sequentially from AIS/ASM/VDE-TER communication technology to VDE-SAT communication technology by the first half of 2025. Then, in the second half of 2025, performance verification compliant with the IEC standards will be conducted. </w:t>
      </w:r>
    </w:p>
    <w:p w14:paraId="5AFA86E1" w14:textId="036E7170" w:rsidR="00A856DD" w:rsidRPr="00A856DD" w:rsidRDefault="00A856DD" w:rsidP="00A856DD">
      <w:pPr>
        <w:pStyle w:val="BodyText"/>
        <w:rPr>
          <w:rFonts w:ascii="Calibri" w:hAnsi="Calibri"/>
          <w:lang w:eastAsia="ko-KR"/>
        </w:rPr>
      </w:pPr>
      <w:r w:rsidRPr="00A856DD">
        <w:rPr>
          <w:rFonts w:ascii="Calibri" w:hAnsi="Calibri"/>
          <w:lang w:eastAsia="ko-KR"/>
        </w:rPr>
        <w:t>3.1.</w:t>
      </w:r>
      <w:r>
        <w:rPr>
          <w:rFonts w:ascii="Calibri" w:hAnsi="Calibri"/>
          <w:lang w:eastAsia="ko-KR"/>
        </w:rPr>
        <w:t>2</w:t>
      </w:r>
      <w:r w:rsidRPr="00A856DD">
        <w:rPr>
          <w:rFonts w:ascii="Calibri" w:hAnsi="Calibri"/>
          <w:lang w:eastAsia="ko-KR"/>
        </w:rPr>
        <w:tab/>
      </w:r>
      <w:r>
        <w:rPr>
          <w:rFonts w:ascii="Calibri" w:hAnsi="Calibri"/>
          <w:lang w:eastAsia="ko-KR"/>
        </w:rPr>
        <w:t>Development of shipborne/shore station equipment</w:t>
      </w:r>
    </w:p>
    <w:p w14:paraId="69334150" w14:textId="3F2759B9" w:rsidR="00D33242" w:rsidRPr="00A856DD" w:rsidRDefault="00A856DD">
      <w:pPr>
        <w:pStyle w:val="BodyText"/>
        <w:rPr>
          <w:rFonts w:ascii="Calibri" w:hAnsi="Calibri"/>
          <w:lang w:eastAsia="de-DE"/>
        </w:rPr>
      </w:pPr>
      <w:r>
        <w:rPr>
          <w:rFonts w:ascii="Calibri" w:hAnsi="Calibri"/>
          <w:lang w:eastAsia="de-DE"/>
        </w:rPr>
        <w:lastRenderedPageBreak/>
        <w:t>This</w:t>
      </w:r>
      <w:r w:rsidR="00D33242" w:rsidRPr="00A856DD">
        <w:rPr>
          <w:rFonts w:ascii="Calibri" w:hAnsi="Calibri"/>
          <w:lang w:eastAsia="de-DE"/>
        </w:rPr>
        <w:t xml:space="preserve"> project plans to develop shipborne/shore station equipment compliant with the latest ITU recommendations and IALA guidelines. Aiming beyond simple VDES-based communication verification</w:t>
      </w:r>
      <w:r w:rsidR="00CE4039" w:rsidRPr="00A856DD">
        <w:rPr>
          <w:rFonts w:ascii="Calibri" w:hAnsi="Calibri"/>
          <w:lang w:eastAsia="de-DE"/>
        </w:rPr>
        <w:t xml:space="preserve"> </w:t>
      </w:r>
      <w:r w:rsidR="00D33242" w:rsidRPr="00A856DD">
        <w:rPr>
          <w:rFonts w:ascii="Calibri" w:hAnsi="Calibri"/>
          <w:lang w:eastAsia="de-DE"/>
        </w:rPr>
        <w:t>technology</w:t>
      </w:r>
      <w:r w:rsidR="00CE4039" w:rsidRPr="00A856DD">
        <w:rPr>
          <w:rFonts w:ascii="Calibri" w:hAnsi="Calibri"/>
          <w:lang w:eastAsia="de-DE"/>
        </w:rPr>
        <w:t>,</w:t>
      </w:r>
      <w:r w:rsidR="00D33242" w:rsidRPr="00A856DD">
        <w:rPr>
          <w:rFonts w:ascii="Calibri" w:hAnsi="Calibri"/>
          <w:lang w:eastAsia="de-DE"/>
        </w:rPr>
        <w:t xml:space="preserve"> </w:t>
      </w:r>
      <w:r w:rsidR="00CE4039" w:rsidRPr="00A856DD">
        <w:rPr>
          <w:rFonts w:ascii="Calibri" w:hAnsi="Calibri"/>
          <w:lang w:eastAsia="de-DE"/>
        </w:rPr>
        <w:t>a</w:t>
      </w:r>
      <w:r w:rsidR="00D33242" w:rsidRPr="00A856DD">
        <w:rPr>
          <w:rFonts w:ascii="Calibri" w:hAnsi="Calibri"/>
          <w:lang w:eastAsia="de-DE"/>
        </w:rPr>
        <w:t xml:space="preserve">ll functions of </w:t>
      </w:r>
      <w:r>
        <w:rPr>
          <w:rFonts w:ascii="Calibri" w:hAnsi="Calibri"/>
          <w:lang w:eastAsia="de-DE"/>
        </w:rPr>
        <w:t xml:space="preserve">the </w:t>
      </w:r>
      <w:r w:rsidR="00D33242" w:rsidRPr="00A856DD">
        <w:rPr>
          <w:rFonts w:ascii="Calibri" w:hAnsi="Calibri"/>
          <w:lang w:eastAsia="de-DE"/>
        </w:rPr>
        <w:t xml:space="preserve">link layer, </w:t>
      </w:r>
      <w:r>
        <w:rPr>
          <w:rFonts w:ascii="Calibri" w:hAnsi="Calibri"/>
          <w:lang w:eastAsia="de-DE"/>
        </w:rPr>
        <w:t xml:space="preserve">the </w:t>
      </w:r>
      <w:r w:rsidR="00D33242" w:rsidRPr="00A856DD">
        <w:rPr>
          <w:rFonts w:ascii="Calibri" w:hAnsi="Calibri"/>
          <w:lang w:eastAsia="de-DE"/>
        </w:rPr>
        <w:t>network layer</w:t>
      </w:r>
      <w:r>
        <w:rPr>
          <w:rFonts w:ascii="Calibri" w:hAnsi="Calibri"/>
          <w:lang w:eastAsia="de-DE"/>
        </w:rPr>
        <w:t>,</w:t>
      </w:r>
      <w:r w:rsidR="00D33242" w:rsidRPr="00A856DD">
        <w:rPr>
          <w:rFonts w:ascii="Calibri" w:hAnsi="Calibri"/>
          <w:lang w:eastAsia="de-DE"/>
        </w:rPr>
        <w:t xml:space="preserve"> and</w:t>
      </w:r>
      <w:r>
        <w:rPr>
          <w:rFonts w:ascii="Calibri" w:hAnsi="Calibri"/>
          <w:lang w:eastAsia="de-DE"/>
        </w:rPr>
        <w:t xml:space="preserve"> the</w:t>
      </w:r>
      <w:r w:rsidR="00D33242" w:rsidRPr="00A856DD">
        <w:rPr>
          <w:rFonts w:ascii="Calibri" w:hAnsi="Calibri"/>
          <w:lang w:eastAsia="de-DE"/>
        </w:rPr>
        <w:t xml:space="preserve"> transmission layer will </w:t>
      </w:r>
      <w:proofErr w:type="gramStart"/>
      <w:r w:rsidR="00D33242" w:rsidRPr="00A856DD">
        <w:rPr>
          <w:rFonts w:ascii="Calibri" w:hAnsi="Calibri"/>
          <w:lang w:eastAsia="de-DE"/>
        </w:rPr>
        <w:t>provided</w:t>
      </w:r>
      <w:proofErr w:type="gramEnd"/>
      <w:r w:rsidR="00D33242" w:rsidRPr="00A856DD">
        <w:rPr>
          <w:rFonts w:ascii="Calibri" w:hAnsi="Calibri"/>
          <w:lang w:eastAsia="de-DE"/>
        </w:rPr>
        <w:t xml:space="preserve"> to enable two-way communication between ship and ship, ship and shore, </w:t>
      </w:r>
      <w:r>
        <w:rPr>
          <w:rFonts w:ascii="Calibri" w:hAnsi="Calibri"/>
          <w:lang w:eastAsia="de-DE"/>
        </w:rPr>
        <w:t xml:space="preserve">and </w:t>
      </w:r>
      <w:r w:rsidR="00D33242" w:rsidRPr="00A856DD">
        <w:rPr>
          <w:rFonts w:ascii="Calibri" w:hAnsi="Calibri"/>
          <w:lang w:eastAsia="de-DE"/>
        </w:rPr>
        <w:t xml:space="preserve">ship and satellite. </w:t>
      </w:r>
      <w:r w:rsidR="00CE4039" w:rsidRPr="00A856DD">
        <w:rPr>
          <w:rFonts w:ascii="Calibri" w:hAnsi="Calibri"/>
          <w:lang w:eastAsia="de-DE"/>
        </w:rPr>
        <w:t xml:space="preserve">This part is performed concurrently with the design of the physical layer block. In 2026, a testbed demonstration of the results of the research will be conducted off the coast of Korea and overseas countries. </w:t>
      </w:r>
    </w:p>
    <w:p w14:paraId="2C70B3B8" w14:textId="4A1EB251" w:rsidR="00A856DD" w:rsidRDefault="00A856DD">
      <w:pPr>
        <w:pStyle w:val="BodyText"/>
        <w:rPr>
          <w:rFonts w:ascii="Malgun Gothic" w:eastAsia="Malgun Gothic" w:hAnsi="Malgun Gothic"/>
          <w:strike/>
          <w:lang w:eastAsia="ko-KR"/>
        </w:rPr>
      </w:pPr>
      <w:r w:rsidRPr="00A856DD">
        <w:rPr>
          <w:rFonts w:ascii="Calibri" w:hAnsi="Calibri"/>
          <w:lang w:eastAsia="ko-KR"/>
        </w:rPr>
        <w:t>3.1.</w:t>
      </w:r>
      <w:r>
        <w:rPr>
          <w:rFonts w:ascii="Calibri" w:hAnsi="Calibri"/>
          <w:lang w:eastAsia="ko-KR"/>
        </w:rPr>
        <w:t>3</w:t>
      </w:r>
      <w:r w:rsidRPr="00A856DD">
        <w:rPr>
          <w:rFonts w:ascii="Calibri" w:hAnsi="Calibri"/>
          <w:lang w:eastAsia="ko-KR"/>
        </w:rPr>
        <w:tab/>
        <w:t xml:space="preserve">Development of integrated operation platform for terrestrial control system based on </w:t>
      </w:r>
      <w:r>
        <w:rPr>
          <w:rFonts w:ascii="Calibri" w:hAnsi="Calibri"/>
          <w:lang w:eastAsia="ko-KR"/>
        </w:rPr>
        <w:t xml:space="preserve">big </w:t>
      </w:r>
      <w:proofErr w:type="gramStart"/>
      <w:r>
        <w:rPr>
          <w:rFonts w:ascii="Calibri" w:hAnsi="Calibri"/>
          <w:lang w:eastAsia="ko-KR"/>
        </w:rPr>
        <w:t>data</w:t>
      </w:r>
      <w:proofErr w:type="gramEnd"/>
    </w:p>
    <w:p w14:paraId="4D7B31DE" w14:textId="62BAD746" w:rsidR="00A856DD" w:rsidRDefault="00CE4039" w:rsidP="00A856DD">
      <w:pPr>
        <w:pStyle w:val="BodyText"/>
        <w:rPr>
          <w:rFonts w:ascii="Calibri" w:hAnsi="Calibri"/>
          <w:lang w:eastAsia="de-DE"/>
        </w:rPr>
      </w:pPr>
      <w:r w:rsidRPr="00A856DD">
        <w:rPr>
          <w:rFonts w:ascii="Calibri" w:hAnsi="Calibri"/>
          <w:lang w:eastAsia="de-DE"/>
        </w:rPr>
        <w:t xml:space="preserve">The research develops two subsystems that constitute one terrestrial control system. One is a bigdata </w:t>
      </w:r>
      <w:r w:rsidR="00A856DD">
        <w:rPr>
          <w:rFonts w:ascii="Calibri" w:hAnsi="Calibri"/>
          <w:lang w:eastAsia="de-DE"/>
        </w:rPr>
        <w:t>data-based</w:t>
      </w:r>
      <w:r w:rsidRPr="00A856DD">
        <w:rPr>
          <w:rFonts w:ascii="Calibri" w:hAnsi="Calibri"/>
          <w:lang w:eastAsia="de-DE"/>
        </w:rPr>
        <w:t xml:space="preserve"> VHF data link integrity monitoring and mitigation system, and the other is a resource management and coordination system between VDE-TER shore stations. The systems will be developed </w:t>
      </w:r>
      <w:r w:rsidR="00A856DD">
        <w:rPr>
          <w:rFonts w:ascii="Calibri" w:hAnsi="Calibri"/>
          <w:lang w:eastAsia="de-DE"/>
        </w:rPr>
        <w:t xml:space="preserve">to </w:t>
      </w:r>
      <w:r w:rsidRPr="00A856DD">
        <w:rPr>
          <w:rFonts w:ascii="Calibri" w:hAnsi="Calibri"/>
          <w:lang w:eastAsia="de-DE"/>
        </w:rPr>
        <w:t xml:space="preserve">comply with the latest IALA guidelines and to be compatible with the existing AIS vessel monitoring systems. Even after the project is completed in 2026, The algorithm correction for the integrity monitoring will be continuously made based on the data accumulated until the revision of SOLAS takes effect. </w:t>
      </w:r>
    </w:p>
    <w:p w14:paraId="4A4AF752" w14:textId="77777777" w:rsidR="00A856DD" w:rsidRPr="00A856DD" w:rsidRDefault="00A856DD" w:rsidP="00A856DD">
      <w:pPr>
        <w:pStyle w:val="BodyText"/>
        <w:rPr>
          <w:rFonts w:ascii="Calibri" w:hAnsi="Calibri"/>
          <w:lang w:eastAsia="de-DE"/>
        </w:rPr>
      </w:pPr>
    </w:p>
    <w:p w14:paraId="626D3E26" w14:textId="5ADEFBD1" w:rsidR="00A856DD" w:rsidRPr="00B57561" w:rsidRDefault="00A856DD" w:rsidP="00A856DD">
      <w:pPr>
        <w:pStyle w:val="Heading1"/>
        <w:rPr>
          <w:rFonts w:ascii="Malgun Gothic" w:eastAsia="Malgun Gothic" w:hAnsi="Malgun Gothic"/>
          <w:color w:val="auto"/>
          <w:lang w:eastAsia="ko-KR"/>
        </w:rPr>
      </w:pPr>
      <w:r w:rsidRPr="009B1C7B">
        <w:t>3.</w:t>
      </w:r>
      <w:r>
        <w:t>2</w:t>
      </w:r>
      <w:r w:rsidRPr="009B1C7B">
        <w:tab/>
      </w:r>
      <w:r>
        <w:t>PART 2 OF THE VDES R&amp;D PROJECT</w:t>
      </w:r>
    </w:p>
    <w:p w14:paraId="041CC7EC" w14:textId="1AF43AA8" w:rsidR="00FD24BB" w:rsidRPr="00A856DD" w:rsidRDefault="004E66D0" w:rsidP="00A856DD">
      <w:pPr>
        <w:pStyle w:val="BodyText"/>
        <w:rPr>
          <w:rFonts w:ascii="Calibri" w:hAnsi="Calibri"/>
          <w:lang w:eastAsia="de-DE"/>
        </w:rPr>
      </w:pPr>
      <w:r w:rsidRPr="00A856DD">
        <w:rPr>
          <w:rFonts w:ascii="Calibri" w:hAnsi="Calibri"/>
          <w:lang w:eastAsia="de-DE"/>
        </w:rPr>
        <w:t>The main objectives of</w:t>
      </w:r>
      <w:r w:rsidR="009013FA" w:rsidRPr="00A856DD">
        <w:rPr>
          <w:rFonts w:ascii="Calibri" w:hAnsi="Calibri"/>
          <w:lang w:eastAsia="de-DE"/>
        </w:rPr>
        <w:t xml:space="preserve"> </w:t>
      </w:r>
      <w:r w:rsidRPr="00A856DD">
        <w:rPr>
          <w:rFonts w:ascii="Calibri" w:hAnsi="Calibri"/>
          <w:lang w:eastAsia="de-DE"/>
        </w:rPr>
        <w:t xml:space="preserve">part two of the VDES R&amp;D project, the development </w:t>
      </w:r>
      <w:proofErr w:type="gramStart"/>
      <w:r w:rsidRPr="00A856DD">
        <w:rPr>
          <w:rFonts w:ascii="Calibri" w:hAnsi="Calibri"/>
          <w:lang w:eastAsia="de-DE"/>
        </w:rPr>
        <w:t xml:space="preserve">of </w:t>
      </w:r>
      <w:r w:rsidR="008424FC">
        <w:rPr>
          <w:rFonts w:ascii="Calibri" w:hAnsi="Calibri"/>
          <w:lang w:eastAsia="de-DE"/>
        </w:rPr>
        <w:t xml:space="preserve"> VDES</w:t>
      </w:r>
      <w:proofErr w:type="gramEnd"/>
      <w:r w:rsidR="008424FC">
        <w:rPr>
          <w:rFonts w:ascii="Calibri" w:hAnsi="Calibri"/>
          <w:lang w:eastAsia="de-DE"/>
        </w:rPr>
        <w:t>-based</w:t>
      </w:r>
      <w:r w:rsidRPr="00A856DD">
        <w:rPr>
          <w:rFonts w:ascii="Calibri" w:hAnsi="Calibri"/>
          <w:lang w:eastAsia="de-DE"/>
        </w:rPr>
        <w:t xml:space="preserve"> maritime services and</w:t>
      </w:r>
      <w:r w:rsidR="008424FC">
        <w:rPr>
          <w:rFonts w:ascii="Calibri" w:hAnsi="Calibri"/>
          <w:lang w:eastAsia="de-DE"/>
        </w:rPr>
        <w:t xml:space="preserve"> a</w:t>
      </w:r>
      <w:r w:rsidRPr="00A856DD">
        <w:rPr>
          <w:rFonts w:ascii="Calibri" w:hAnsi="Calibri"/>
          <w:lang w:eastAsia="de-DE"/>
        </w:rPr>
        <w:t xml:space="preserve"> verification system </w:t>
      </w:r>
      <w:r w:rsidR="008424FC">
        <w:rPr>
          <w:rFonts w:ascii="Calibri" w:hAnsi="Calibri"/>
          <w:lang w:eastAsia="de-DE"/>
        </w:rPr>
        <w:t>are</w:t>
      </w:r>
      <w:r w:rsidRPr="00A856DD">
        <w:rPr>
          <w:rFonts w:ascii="Calibri" w:hAnsi="Calibri"/>
          <w:lang w:eastAsia="de-DE"/>
        </w:rPr>
        <w:t xml:space="preserve"> as follows.  </w:t>
      </w:r>
    </w:p>
    <w:p w14:paraId="5F4DDF28" w14:textId="0868B1EE" w:rsidR="00A856DD" w:rsidRDefault="00A856DD" w:rsidP="00A856DD">
      <w:pPr>
        <w:pStyle w:val="List1"/>
        <w:rPr>
          <w:rFonts w:ascii="Calibri" w:hAnsi="Calibri"/>
          <w:lang w:eastAsia="ko-KR"/>
        </w:rPr>
      </w:pPr>
      <w:r w:rsidRPr="00A856DD">
        <w:rPr>
          <w:rFonts w:ascii="Calibri" w:hAnsi="Calibri"/>
          <w:lang w:eastAsia="ko-KR"/>
        </w:rPr>
        <w:t>3.</w:t>
      </w:r>
      <w:r>
        <w:rPr>
          <w:rFonts w:ascii="Calibri" w:hAnsi="Calibri"/>
          <w:lang w:eastAsia="ko-KR"/>
        </w:rPr>
        <w:t>2</w:t>
      </w:r>
      <w:r w:rsidRPr="00A856DD">
        <w:rPr>
          <w:rFonts w:ascii="Calibri" w:hAnsi="Calibri"/>
          <w:lang w:eastAsia="ko-KR"/>
        </w:rPr>
        <w:t>.1</w:t>
      </w:r>
      <w:r w:rsidRPr="00A856DD">
        <w:rPr>
          <w:rFonts w:ascii="Calibri" w:hAnsi="Calibri"/>
          <w:lang w:eastAsia="ko-KR"/>
        </w:rPr>
        <w:tab/>
        <w:t xml:space="preserve">Development of </w:t>
      </w:r>
      <w:r w:rsidR="008424FC">
        <w:rPr>
          <w:rFonts w:ascii="Calibri" w:hAnsi="Calibri"/>
          <w:lang w:eastAsia="ko-KR"/>
        </w:rPr>
        <w:t>VDES-based</w:t>
      </w:r>
      <w:r>
        <w:rPr>
          <w:rFonts w:ascii="Calibri" w:hAnsi="Calibri"/>
          <w:lang w:eastAsia="ko-KR"/>
        </w:rPr>
        <w:t xml:space="preserve"> maritime </w:t>
      </w:r>
      <w:proofErr w:type="gramStart"/>
      <w:r>
        <w:rPr>
          <w:rFonts w:ascii="Calibri" w:hAnsi="Calibri"/>
          <w:lang w:eastAsia="ko-KR"/>
        </w:rPr>
        <w:t>services</w:t>
      </w:r>
      <w:proofErr w:type="gramEnd"/>
    </w:p>
    <w:p w14:paraId="790AA791" w14:textId="57CB86D6" w:rsidR="004E66D0" w:rsidRDefault="004E66D0">
      <w:pPr>
        <w:pStyle w:val="BodyText"/>
        <w:rPr>
          <w:rFonts w:ascii="Calibri" w:hAnsi="Calibri"/>
          <w:lang w:eastAsia="de-DE"/>
        </w:rPr>
      </w:pPr>
      <w:r w:rsidRPr="00A856DD">
        <w:rPr>
          <w:rFonts w:ascii="Calibri" w:hAnsi="Calibri"/>
          <w:lang w:eastAsia="de-DE"/>
        </w:rPr>
        <w:t>T</w:t>
      </w:r>
      <w:r w:rsidR="009B1C7B" w:rsidRPr="00A856DD">
        <w:rPr>
          <w:rFonts w:ascii="Calibri" w:hAnsi="Calibri"/>
          <w:lang w:eastAsia="de-DE"/>
        </w:rPr>
        <w:t>he project</w:t>
      </w:r>
      <w:r w:rsidRPr="00A856DD">
        <w:rPr>
          <w:rFonts w:ascii="Calibri" w:hAnsi="Calibri"/>
          <w:lang w:eastAsia="de-DE"/>
        </w:rPr>
        <w:t xml:space="preserve"> plans to study digital information services that can be provided with the data transmission capability of VDES among IMO’s maritime services (MS1~16) and develop a system to operate the maritime services. Additional research on how to operate in conjunction with various other communication systems for data transmission in an environment where VDES service is not possible shall also be conducted: </w:t>
      </w:r>
    </w:p>
    <w:p w14:paraId="5005AB17" w14:textId="74735FCE" w:rsidR="008424FC" w:rsidRDefault="008424FC" w:rsidP="008424FC">
      <w:pPr>
        <w:pStyle w:val="List1"/>
        <w:numPr>
          <w:ilvl w:val="0"/>
          <w:numId w:val="7"/>
        </w:numPr>
        <w:rPr>
          <w:rFonts w:ascii="Calibri" w:hAnsi="Calibri"/>
        </w:rPr>
      </w:pPr>
      <w:r>
        <w:rPr>
          <w:rFonts w:ascii="Calibri" w:hAnsi="Calibri"/>
        </w:rPr>
        <w:t xml:space="preserve">LTE-M, established and operated by the Ministry of Oceans and </w:t>
      </w:r>
      <w:proofErr w:type="gramStart"/>
      <w:r>
        <w:rPr>
          <w:rFonts w:ascii="Calibri" w:hAnsi="Calibri"/>
        </w:rPr>
        <w:t>Fisheries(</w:t>
      </w:r>
      <w:proofErr w:type="gramEnd"/>
      <w:r>
        <w:rPr>
          <w:rFonts w:ascii="Calibri" w:hAnsi="Calibri"/>
        </w:rPr>
        <w:t>ROK) for vessel safety by the shore</w:t>
      </w:r>
    </w:p>
    <w:p w14:paraId="79B14CB9" w14:textId="67D975A0" w:rsidR="008424FC" w:rsidRPr="008424FC" w:rsidRDefault="008424FC" w:rsidP="008424FC">
      <w:pPr>
        <w:pStyle w:val="List1"/>
        <w:numPr>
          <w:ilvl w:val="0"/>
          <w:numId w:val="7"/>
        </w:numPr>
        <w:rPr>
          <w:rFonts w:asciiTheme="minorHAnsi" w:hAnsiTheme="minorHAnsi" w:cstheme="minorHAnsi"/>
        </w:rPr>
      </w:pPr>
      <w:r w:rsidRPr="008424FC">
        <w:rPr>
          <w:rFonts w:asciiTheme="minorHAnsi" w:eastAsia="Malgun Gothic" w:hAnsiTheme="minorHAnsi" w:cstheme="minorHAnsi"/>
          <w:lang w:eastAsia="ko-KR"/>
        </w:rPr>
        <w:t xml:space="preserve">ATSC 3.0 </w:t>
      </w:r>
      <w:proofErr w:type="gramStart"/>
      <w:r>
        <w:rPr>
          <w:rFonts w:asciiTheme="minorHAnsi" w:eastAsia="Malgun Gothic" w:hAnsiTheme="minorHAnsi" w:cstheme="minorHAnsi"/>
          <w:lang w:eastAsia="ko-KR"/>
        </w:rPr>
        <w:t>standard-based</w:t>
      </w:r>
      <w:proofErr w:type="gramEnd"/>
      <w:r w:rsidRPr="008424FC">
        <w:rPr>
          <w:rFonts w:asciiTheme="minorHAnsi" w:eastAsia="Malgun Gothic" w:hAnsiTheme="minorHAnsi" w:cstheme="minorHAnsi"/>
          <w:lang w:eastAsia="ko-KR"/>
        </w:rPr>
        <w:t xml:space="preserve"> UHD terrestrial broadcasting network, for disaster broadcast etc. </w:t>
      </w:r>
    </w:p>
    <w:p w14:paraId="562C3F27" w14:textId="267AF941" w:rsidR="004E66D0" w:rsidRPr="008424FC" w:rsidRDefault="004E66D0">
      <w:pPr>
        <w:pStyle w:val="BodyText"/>
        <w:rPr>
          <w:rFonts w:ascii="Calibri" w:hAnsi="Calibri"/>
          <w:lang w:eastAsia="de-DE"/>
        </w:rPr>
      </w:pPr>
      <w:r w:rsidRPr="008424FC">
        <w:rPr>
          <w:rFonts w:ascii="Calibri" w:hAnsi="Calibri"/>
          <w:lang w:eastAsia="de-DE"/>
        </w:rPr>
        <w:t xml:space="preserve">The </w:t>
      </w:r>
      <w:r w:rsidR="009B1C7B" w:rsidRPr="008424FC">
        <w:rPr>
          <w:rFonts w:ascii="Calibri" w:hAnsi="Calibri"/>
          <w:lang w:eastAsia="de-DE"/>
        </w:rPr>
        <w:t>project</w:t>
      </w:r>
      <w:r w:rsidRPr="008424FC">
        <w:rPr>
          <w:rFonts w:ascii="Calibri" w:hAnsi="Calibri"/>
          <w:lang w:eastAsia="de-DE"/>
        </w:rPr>
        <w:t xml:space="preserve"> shall provide scenarios and data-transmission protocols for operating maritime </w:t>
      </w:r>
      <w:r w:rsidR="009B1C7B" w:rsidRPr="008424FC">
        <w:rPr>
          <w:rFonts w:ascii="Calibri" w:hAnsi="Calibri"/>
          <w:lang w:eastAsia="de-DE"/>
        </w:rPr>
        <w:t>services</w:t>
      </w:r>
      <w:r w:rsidRPr="008424FC">
        <w:rPr>
          <w:rFonts w:ascii="Calibri" w:hAnsi="Calibri"/>
          <w:lang w:eastAsia="de-DE"/>
        </w:rPr>
        <w:t xml:space="preserve">. </w:t>
      </w:r>
      <w:r w:rsidR="00B95ADB" w:rsidRPr="008424FC">
        <w:rPr>
          <w:rFonts w:ascii="Calibri" w:hAnsi="Calibri"/>
          <w:lang w:eastAsia="de-DE"/>
        </w:rPr>
        <w:t xml:space="preserve">It will be used as test service data necessary for the testbed demonstration of part one of the VDES R&amp;D project. The services will be developed by specifying the parameters that can be used in real </w:t>
      </w:r>
      <w:r w:rsidR="009B1C7B" w:rsidRPr="008424FC">
        <w:rPr>
          <w:rFonts w:ascii="Calibri" w:hAnsi="Calibri"/>
          <w:lang w:eastAsia="de-DE"/>
        </w:rPr>
        <w:t>sites</w:t>
      </w:r>
      <w:r w:rsidR="00B95ADB" w:rsidRPr="008424FC">
        <w:rPr>
          <w:rFonts w:ascii="Calibri" w:hAnsi="Calibri"/>
          <w:lang w:eastAsia="de-DE"/>
        </w:rPr>
        <w:t xml:space="preserve">, by expanding the scenarios in the IALA G1117. The developed services will be open to the public through open API. This is expected to have a positive effect </w:t>
      </w:r>
      <w:r w:rsidR="008424FC">
        <w:rPr>
          <w:rFonts w:ascii="Calibri" w:hAnsi="Calibri"/>
          <w:lang w:eastAsia="de-DE"/>
        </w:rPr>
        <w:t>on</w:t>
      </w:r>
      <w:r w:rsidR="00B95ADB" w:rsidRPr="008424FC">
        <w:rPr>
          <w:rFonts w:ascii="Calibri" w:hAnsi="Calibri"/>
          <w:lang w:eastAsia="de-DE"/>
        </w:rPr>
        <w:t xml:space="preserve"> expanding the use of VDES-based maritime services. </w:t>
      </w:r>
    </w:p>
    <w:p w14:paraId="121EB5DF" w14:textId="031627C3" w:rsidR="00710AC0" w:rsidRPr="008424FC" w:rsidRDefault="008424FC" w:rsidP="008424FC">
      <w:pPr>
        <w:pStyle w:val="List1"/>
        <w:rPr>
          <w:rFonts w:ascii="Calibri" w:hAnsi="Calibri"/>
          <w:lang w:eastAsia="ko-KR"/>
        </w:rPr>
      </w:pPr>
      <w:r w:rsidRPr="00A856DD">
        <w:rPr>
          <w:rFonts w:ascii="Calibri" w:hAnsi="Calibri"/>
          <w:lang w:eastAsia="ko-KR"/>
        </w:rPr>
        <w:t>3.</w:t>
      </w:r>
      <w:r>
        <w:rPr>
          <w:rFonts w:ascii="Calibri" w:hAnsi="Calibri"/>
          <w:lang w:eastAsia="ko-KR"/>
        </w:rPr>
        <w:t>2</w:t>
      </w:r>
      <w:r w:rsidRPr="00A856DD">
        <w:rPr>
          <w:rFonts w:ascii="Calibri" w:hAnsi="Calibri"/>
          <w:lang w:eastAsia="ko-KR"/>
        </w:rPr>
        <w:t>.</w:t>
      </w:r>
      <w:r>
        <w:rPr>
          <w:rFonts w:ascii="Calibri" w:hAnsi="Calibri"/>
          <w:lang w:eastAsia="ko-KR"/>
        </w:rPr>
        <w:t>2</w:t>
      </w:r>
      <w:r w:rsidRPr="00A856DD">
        <w:rPr>
          <w:rFonts w:ascii="Calibri" w:hAnsi="Calibri"/>
          <w:lang w:eastAsia="ko-KR"/>
        </w:rPr>
        <w:tab/>
        <w:t xml:space="preserve">Development of </w:t>
      </w:r>
      <w:r>
        <w:rPr>
          <w:rFonts w:ascii="Calibri" w:hAnsi="Calibri"/>
          <w:lang w:eastAsia="ko-KR"/>
        </w:rPr>
        <w:t>VDES systems performance verification simulator</w:t>
      </w:r>
    </w:p>
    <w:p w14:paraId="46CC10A8" w14:textId="044110BC" w:rsidR="00710AC0" w:rsidRPr="00710AC0" w:rsidRDefault="00710AC0">
      <w:pPr>
        <w:pStyle w:val="BodyText"/>
        <w:rPr>
          <w:rFonts w:ascii="Malgun Gothic" w:eastAsia="Malgun Gothic" w:hAnsi="Malgun Gothic"/>
          <w:color w:val="3333FF"/>
          <w:lang w:eastAsia="ko-KR"/>
        </w:rPr>
      </w:pPr>
      <w:r w:rsidRPr="008424FC">
        <w:rPr>
          <w:rFonts w:ascii="Calibri" w:hAnsi="Calibri"/>
          <w:lang w:eastAsia="de-DE"/>
        </w:rPr>
        <w:t xml:space="preserve">The </w:t>
      </w:r>
      <w:r w:rsidR="009B1C7B" w:rsidRPr="008424FC">
        <w:rPr>
          <w:rFonts w:ascii="Calibri" w:hAnsi="Calibri"/>
          <w:lang w:eastAsia="de-DE"/>
        </w:rPr>
        <w:t>project</w:t>
      </w:r>
      <w:r w:rsidRPr="008424FC">
        <w:rPr>
          <w:rFonts w:ascii="Calibri" w:hAnsi="Calibri"/>
          <w:lang w:eastAsia="de-DE"/>
        </w:rPr>
        <w:t xml:space="preserve"> plans to develop a simulator for performance verification of VDES shipborne/shore station equipment and </w:t>
      </w:r>
      <w:r w:rsidR="008424FC">
        <w:rPr>
          <w:rFonts w:ascii="Calibri" w:hAnsi="Calibri"/>
          <w:lang w:eastAsia="de-DE"/>
        </w:rPr>
        <w:t xml:space="preserve">an </w:t>
      </w:r>
      <w:r w:rsidRPr="008424FC">
        <w:rPr>
          <w:rFonts w:ascii="Calibri" w:hAnsi="Calibri"/>
          <w:lang w:eastAsia="de-DE"/>
        </w:rPr>
        <w:t xml:space="preserve">integrated operation platform for terrestrial control </w:t>
      </w:r>
      <w:r w:rsidR="008424FC">
        <w:rPr>
          <w:rFonts w:ascii="Calibri" w:hAnsi="Calibri"/>
          <w:lang w:eastAsia="de-DE"/>
        </w:rPr>
        <w:t>systems</w:t>
      </w:r>
      <w:r w:rsidRPr="008424FC">
        <w:rPr>
          <w:rFonts w:ascii="Calibri" w:hAnsi="Calibri"/>
          <w:lang w:eastAsia="de-DE"/>
        </w:rPr>
        <w:t xml:space="preserve">. The simulator verifies the accuracy of the RF performance characteristics </w:t>
      </w:r>
      <w:r w:rsidRPr="008424FC">
        <w:rPr>
          <w:rFonts w:ascii="Calibri" w:hAnsi="Calibri" w:hint="eastAsia"/>
          <w:lang w:eastAsia="de-DE"/>
        </w:rPr>
        <w:t>o</w:t>
      </w:r>
      <w:r w:rsidRPr="008424FC">
        <w:rPr>
          <w:rFonts w:ascii="Calibri" w:hAnsi="Calibri"/>
          <w:lang w:eastAsia="de-DE"/>
        </w:rPr>
        <w:t>f the physical layer of the VDES equipment, the automatic detection function for the link layer, the network layer, and the transmission layer, as well as the integrity analysis algorithm and available resource analysis algorithm of the VDL integrity monitoring system within the integrated operation platform. This will contribute to the universalization of accredited verification technology for commercial VDES equipment.</w:t>
      </w:r>
      <w:r w:rsidRPr="00710AC0">
        <w:rPr>
          <w:rFonts w:ascii="Malgun Gothic" w:eastAsia="Malgun Gothic" w:hAnsi="Malgun Gothic"/>
          <w:color w:val="3333FF"/>
          <w:lang w:eastAsia="ko-KR"/>
        </w:rPr>
        <w:t xml:space="preserve">  </w:t>
      </w:r>
    </w:p>
    <w:p w14:paraId="48024273" w14:textId="77777777" w:rsidR="00710AC0" w:rsidRDefault="00710AC0">
      <w:pPr>
        <w:pStyle w:val="BodyText"/>
        <w:rPr>
          <w:rFonts w:ascii="Malgun Gothic" w:eastAsia="Malgun Gothic" w:hAnsi="Malgun Gothic"/>
          <w:lang w:eastAsia="ko-KR"/>
        </w:rPr>
      </w:pPr>
    </w:p>
    <w:p w14:paraId="6128559E" w14:textId="77777777" w:rsidR="00710AC0" w:rsidRDefault="00710AC0">
      <w:pPr>
        <w:pStyle w:val="BodyText"/>
        <w:rPr>
          <w:rFonts w:ascii="Malgun Gothic" w:eastAsia="Malgun Gothic" w:hAnsi="Malgun Gothic"/>
          <w:lang w:eastAsia="ko-KR"/>
        </w:rPr>
      </w:pPr>
    </w:p>
    <w:p w14:paraId="1037A492" w14:textId="77777777" w:rsidR="00FD24BB" w:rsidRDefault="00FD24BB">
      <w:pPr>
        <w:pStyle w:val="BodyText"/>
        <w:rPr>
          <w:rFonts w:ascii="Calibri" w:hAnsi="Calibri"/>
          <w:lang w:eastAsia="ko-KR"/>
        </w:rPr>
      </w:pPr>
    </w:p>
    <w:p w14:paraId="53C60C9F" w14:textId="2D8988DB" w:rsidR="00FD24BB" w:rsidRPr="008424FC" w:rsidRDefault="008424FC" w:rsidP="008424FC">
      <w:pPr>
        <w:pStyle w:val="References"/>
        <w:rPr>
          <w:rFonts w:ascii="Calibri" w:hAnsi="Calibri"/>
        </w:rPr>
      </w:pPr>
      <w:r w:rsidRPr="008424FC">
        <w:rPr>
          <w:rFonts w:ascii="Calibri" w:hAnsi="Calibri"/>
          <w:b/>
          <w:bCs/>
          <w:caps/>
          <w:color w:val="0070C0"/>
          <w:kern w:val="28"/>
          <w:sz w:val="24"/>
          <w:szCs w:val="22"/>
          <w:lang w:eastAsia="ko-KR"/>
        </w:rPr>
        <w:t>4</w:t>
      </w:r>
      <w:r w:rsidRPr="008424FC">
        <w:rPr>
          <w:rFonts w:ascii="Calibri" w:hAnsi="Calibri"/>
          <w:b/>
          <w:bCs/>
          <w:caps/>
          <w:color w:val="0070C0"/>
          <w:kern w:val="28"/>
          <w:sz w:val="24"/>
          <w:szCs w:val="22"/>
          <w:lang w:eastAsia="ko-KR"/>
        </w:rPr>
        <w:tab/>
        <w:t>REFERENCES</w:t>
      </w:r>
    </w:p>
    <w:p w14:paraId="7C78EBC1" w14:textId="77777777" w:rsidR="00FD24BB" w:rsidRDefault="006A11B9" w:rsidP="008424FC">
      <w:pPr>
        <w:pStyle w:val="References"/>
        <w:numPr>
          <w:ilvl w:val="0"/>
          <w:numId w:val="6"/>
        </w:numPr>
        <w:rPr>
          <w:rFonts w:ascii="Calibri" w:hAnsi="Calibri"/>
        </w:rPr>
      </w:pPr>
      <w:r w:rsidRPr="00B57561">
        <w:rPr>
          <w:rFonts w:ascii="Calibri" w:hAnsi="Calibri"/>
        </w:rPr>
        <w:t>IMO MSC.1/Circ.1610 INITIAL DESCRIPTIONS OF MARITIME SERVICES IN THE CONTEXT OF E-NAVIGATION</w:t>
      </w:r>
    </w:p>
    <w:p w14:paraId="64C1C416" w14:textId="5CAD256B" w:rsidR="008424FC" w:rsidRDefault="008424FC" w:rsidP="008424FC">
      <w:pPr>
        <w:pStyle w:val="References"/>
        <w:numPr>
          <w:ilvl w:val="0"/>
          <w:numId w:val="6"/>
        </w:numPr>
        <w:rPr>
          <w:rFonts w:ascii="Calibri" w:hAnsi="Calibri"/>
        </w:rPr>
      </w:pPr>
      <w:r w:rsidRPr="008424FC">
        <w:rPr>
          <w:rFonts w:ascii="Calibri" w:hAnsi="Calibri"/>
        </w:rPr>
        <w:lastRenderedPageBreak/>
        <w:t xml:space="preserve">E-NAV </w:t>
      </w:r>
      <w:proofErr w:type="gramStart"/>
      <w:r w:rsidRPr="008424FC">
        <w:rPr>
          <w:rFonts w:ascii="Calibri" w:hAnsi="Calibri"/>
        </w:rPr>
        <w:t>31th</w:t>
      </w:r>
      <w:proofErr w:type="gramEnd"/>
      <w:r w:rsidRPr="008424FC">
        <w:rPr>
          <w:rFonts w:ascii="Calibri" w:hAnsi="Calibri"/>
        </w:rPr>
        <w:t xml:space="preserve"> Extraordinary meeting Input Document – Working Draft of Guideline on VDES VDL integrity monitoring</w:t>
      </w:r>
    </w:p>
    <w:p w14:paraId="389DFDA1" w14:textId="551E24FD" w:rsidR="008424FC" w:rsidRPr="00B57561" w:rsidRDefault="008424FC" w:rsidP="008424FC">
      <w:pPr>
        <w:pStyle w:val="References"/>
        <w:numPr>
          <w:ilvl w:val="0"/>
          <w:numId w:val="6"/>
        </w:numPr>
        <w:rPr>
          <w:rFonts w:ascii="Calibri" w:hAnsi="Calibri"/>
        </w:rPr>
      </w:pPr>
      <w:r w:rsidRPr="008424FC">
        <w:rPr>
          <w:rFonts w:ascii="Calibri" w:hAnsi="Calibri"/>
        </w:rPr>
        <w:t>E-NAV 31</w:t>
      </w:r>
      <w:proofErr w:type="gramStart"/>
      <w:r w:rsidRPr="008424FC">
        <w:rPr>
          <w:rFonts w:ascii="Calibri" w:hAnsi="Calibri"/>
        </w:rPr>
        <w:t>th  Extraordinary</w:t>
      </w:r>
      <w:proofErr w:type="gramEnd"/>
      <w:r w:rsidRPr="008424FC">
        <w:rPr>
          <w:rFonts w:ascii="Calibri" w:hAnsi="Calibri"/>
        </w:rPr>
        <w:t xml:space="preserve"> meeting Input Document - EM1-5.1.3.4 Proposals on VDES communication resource coordination</w:t>
      </w:r>
    </w:p>
    <w:p w14:paraId="74BFC07C" w14:textId="77777777" w:rsidR="00FD24BB" w:rsidRDefault="00FD24BB">
      <w:pPr>
        <w:pStyle w:val="References"/>
        <w:ind w:left="567"/>
        <w:rPr>
          <w:rFonts w:ascii="Calibri" w:hAnsi="Calibri"/>
          <w:lang w:eastAsia="de-DE"/>
        </w:rPr>
      </w:pPr>
    </w:p>
    <w:p w14:paraId="1F5D5C9F" w14:textId="250A0959" w:rsidR="00FD24BB" w:rsidRDefault="008424FC">
      <w:pPr>
        <w:pStyle w:val="BodyText"/>
        <w:spacing w:line="276" w:lineRule="auto"/>
        <w:rPr>
          <w:rFonts w:ascii="Calibri" w:hAnsi="Calibri"/>
          <w:b/>
          <w:caps/>
          <w:color w:val="0070C0"/>
          <w:kern w:val="28"/>
          <w:sz w:val="24"/>
          <w:lang w:eastAsia="de-DE"/>
        </w:rPr>
      </w:pPr>
      <w:r w:rsidRPr="008424FC">
        <w:rPr>
          <w:rFonts w:ascii="Calibri" w:hAnsi="Calibri"/>
          <w:b/>
          <w:caps/>
          <w:color w:val="0070C0"/>
          <w:kern w:val="28"/>
          <w:sz w:val="24"/>
          <w:lang w:eastAsia="de-DE"/>
        </w:rPr>
        <w:t>5</w:t>
      </w:r>
      <w:r w:rsidRPr="008424FC">
        <w:rPr>
          <w:rFonts w:ascii="Calibri" w:hAnsi="Calibri"/>
          <w:b/>
          <w:caps/>
          <w:color w:val="0070C0"/>
          <w:kern w:val="28"/>
          <w:sz w:val="24"/>
          <w:lang w:eastAsia="de-DE"/>
        </w:rPr>
        <w:tab/>
        <w:t>ACTION REQUESTED OF THE COMMITTEE</w:t>
      </w:r>
    </w:p>
    <w:p w14:paraId="5BB70BD0" w14:textId="77777777" w:rsidR="00FD24BB" w:rsidRDefault="006A11B9">
      <w:pPr>
        <w:pStyle w:val="BodyText"/>
        <w:spacing w:line="276" w:lineRule="auto"/>
        <w:rPr>
          <w:rFonts w:asciiTheme="minorHAnsi" w:eastAsia="Malgun Gothic" w:hAnsiTheme="minorHAnsi" w:cstheme="minorHAnsi"/>
          <w:lang w:eastAsia="ko-KR"/>
        </w:rPr>
      </w:pPr>
      <w:r w:rsidRPr="00B57561">
        <w:rPr>
          <w:rFonts w:asciiTheme="minorHAnsi" w:eastAsia="Malgun Gothic" w:hAnsiTheme="minorHAnsi" w:cstheme="minorHAnsi"/>
        </w:rPr>
        <w:t xml:space="preserve">The </w:t>
      </w:r>
      <w:r w:rsidRPr="00B57561">
        <w:rPr>
          <w:rFonts w:asciiTheme="minorHAnsi" w:eastAsia="Malgun Gothic" w:hAnsiTheme="minorHAnsi" w:cstheme="minorHAnsi"/>
          <w:lang w:eastAsia="ko-KR"/>
        </w:rPr>
        <w:t>Committee is requested to:</w:t>
      </w:r>
    </w:p>
    <w:p w14:paraId="1D90BFB5" w14:textId="77777777" w:rsidR="008424FC" w:rsidRDefault="008424FC" w:rsidP="008424FC">
      <w:pPr>
        <w:pStyle w:val="List1"/>
        <w:numPr>
          <w:ilvl w:val="0"/>
          <w:numId w:val="24"/>
        </w:numPr>
        <w:rPr>
          <w:rFonts w:ascii="Calibri" w:hAnsi="Calibri"/>
        </w:rPr>
      </w:pPr>
      <w:r w:rsidRPr="008424FC">
        <w:rPr>
          <w:rFonts w:ascii="Calibri" w:hAnsi="Calibri"/>
        </w:rPr>
        <w:t>recognize the main objectives of Korea’s VDES research and development project.</w:t>
      </w:r>
    </w:p>
    <w:p w14:paraId="420DF54E" w14:textId="2DBA1BDC" w:rsidR="008424FC" w:rsidRPr="00B57561" w:rsidRDefault="008424FC" w:rsidP="008424FC">
      <w:pPr>
        <w:pStyle w:val="BodyText"/>
        <w:numPr>
          <w:ilvl w:val="0"/>
          <w:numId w:val="24"/>
        </w:numPr>
        <w:spacing w:line="276" w:lineRule="auto"/>
        <w:rPr>
          <w:rFonts w:asciiTheme="minorHAnsi" w:eastAsia="Malgun Gothic" w:hAnsiTheme="minorHAnsi" w:cstheme="minorHAnsi"/>
          <w:lang w:eastAsia="ko-KR"/>
        </w:rPr>
      </w:pPr>
      <w:r w:rsidRPr="008424FC">
        <w:rPr>
          <w:rFonts w:ascii="Calibri" w:eastAsia="MS Mincho" w:hAnsi="Calibri"/>
          <w:lang w:eastAsia="ja-JP"/>
        </w:rPr>
        <w:t>consider participation in the expert group for Korea’s VDES research and development project.</w:t>
      </w:r>
    </w:p>
    <w:p w14:paraId="1FD5664D" w14:textId="77777777" w:rsidR="00FD24BB" w:rsidRDefault="00FD24BB">
      <w:pPr>
        <w:pStyle w:val="Bullet2"/>
        <w:numPr>
          <w:ilvl w:val="0"/>
          <w:numId w:val="0"/>
        </w:numPr>
        <w:ind w:left="1701" w:right="110"/>
        <w:jc w:val="right"/>
        <w:rPr>
          <w:lang w:eastAsia="ko-KR"/>
        </w:rPr>
      </w:pPr>
    </w:p>
    <w:p w14:paraId="58C25F87" w14:textId="77777777" w:rsidR="00FD24BB" w:rsidRDefault="006A11B9">
      <w:pPr>
        <w:pStyle w:val="Bullet2"/>
        <w:jc w:val="right"/>
        <w:rPr>
          <w:lang w:eastAsia="en-US"/>
        </w:rPr>
      </w:pPr>
      <w:r>
        <w:rPr>
          <w:rFonts w:hint="eastAsia"/>
          <w:lang w:eastAsia="ko-KR"/>
        </w:rPr>
        <w:t>EOF -</w:t>
      </w:r>
    </w:p>
    <w:sectPr w:rsidR="00FD24BB">
      <w:headerReference w:type="even" r:id="rId9"/>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5F043" w14:textId="77777777" w:rsidR="00523BB7" w:rsidRDefault="00523BB7">
      <w:r>
        <w:separator/>
      </w:r>
    </w:p>
  </w:endnote>
  <w:endnote w:type="continuationSeparator" w:id="0">
    <w:p w14:paraId="38F522BC" w14:textId="77777777" w:rsidR="00523BB7" w:rsidRDefault="00523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한양신명조">
    <w:altName w:val="바탕"/>
    <w:charset w:val="81"/>
    <w:family w:val="roman"/>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함초롬바탕">
    <w:charset w:val="81"/>
    <w:family w:val="roman"/>
    <w:pitch w:val="variable"/>
    <w:sig w:usb0="F7002EFF" w:usb1="19DFFFFF" w:usb2="001BFDD7" w:usb3="00000000" w:csb0="001F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EA2B" w14:textId="77777777" w:rsidR="00FD24BB" w:rsidRDefault="006A11B9">
    <w:pPr>
      <w:pStyle w:val="Footer"/>
      <w:rPr>
        <w:rFonts w:ascii="Calibri" w:hAnsi="Calibri"/>
      </w:rP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E29ED" w14:textId="77777777" w:rsidR="00523BB7" w:rsidRDefault="00523BB7">
      <w:r>
        <w:separator/>
      </w:r>
    </w:p>
  </w:footnote>
  <w:footnote w:type="continuationSeparator" w:id="0">
    <w:p w14:paraId="60577C47" w14:textId="77777777" w:rsidR="00523BB7" w:rsidRDefault="00523BB7">
      <w:r>
        <w:continuationSeparator/>
      </w:r>
    </w:p>
  </w:footnote>
  <w:footnote w:id="1">
    <w:p w14:paraId="72C05299" w14:textId="77777777" w:rsidR="00FD24BB" w:rsidRDefault="006A11B9">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572D9CBC" w14:textId="77777777" w:rsidR="00FD24BB" w:rsidRDefault="006A11B9">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15B37" w14:textId="77777777" w:rsidR="00FD24BB" w:rsidRDefault="00B57561">
    <w:pPr>
      <w:pStyle w:val="Header"/>
    </w:pPr>
    <w:r>
      <w:rPr>
        <w:noProof/>
      </w:rPr>
      <w:pict w14:anchorId="1FAEB9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56704;visibility:hidden">
          <v:path textpathok="f" o:connecttype="segments"/>
          <v:textpath on="f" fitshape="f"/>
          <o:lock v:ext="edit" selection="t" text="f" shapetype="f"/>
        </v:shape>
      </w:pict>
    </w:r>
    <w:r>
      <w:rPr>
        <w:noProof/>
      </w:rPr>
      <w:pict w14:anchorId="0D032F92">
        <v:shape id="PowerPlusWaterMarkObject" o:spid="_x0000_s1027"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DDCFD" w14:textId="77777777" w:rsidR="00FD24BB" w:rsidRDefault="006A11B9">
    <w:pPr>
      <w:pStyle w:val="Header"/>
      <w:jc w:val="right"/>
    </w:pPr>
    <w:r>
      <w:rPr>
        <w:noProof/>
        <w:lang w:val="en-US" w:eastAsia="ko-KR"/>
      </w:rPr>
      <w:drawing>
        <wp:anchor distT="0" distB="0" distL="114300" distR="114300" simplePos="0" relativeHeight="251655680" behindDoc="0" locked="0" layoutInCell="1" hidden="0" allowOverlap="1" wp14:anchorId="4E44B24E" wp14:editId="3C793201">
          <wp:simplePos x="0" y="0"/>
          <wp:positionH relativeFrom="column">
            <wp:posOffset>5447030</wp:posOffset>
          </wp:positionH>
          <wp:positionV relativeFrom="paragraph">
            <wp:posOffset>-427990</wp:posOffset>
          </wp:positionV>
          <wp:extent cx="574675" cy="560070"/>
          <wp:effectExtent l="0" t="0" r="0" b="0"/>
          <wp:wrapSquare wrapText="bothSides"/>
          <wp:docPr id="2050" name="shape20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이미지"/>
                  <pic:cNvPicPr>
                    <a:picLocks/>
                  </pic:cNvPicPr>
                </pic:nvPicPr>
                <pic:blipFill>
                  <a:blip r:embed="rId1">
                    <a:extLst>
                      <a:ext uri="{28A0092B-C50C-407E-A947-70E740481C1C}">
                        <a14:useLocalDpi xmlns:a14="http://schemas.microsoft.com/office/drawing/2010/main" val="0"/>
                      </a:ext>
                    </a:extLst>
                  </a:blip>
                  <a:srcRect/>
                  <a:stretch>
                    <a:fillRect/>
                  </a:stretch>
                </pic:blipFill>
                <pic:spPr>
                  <a:xfrm>
                    <a:off x="0" y="0"/>
                    <a:ext cx="574675" cy="560070"/>
                  </a:xfrm>
                  <a:prstGeom prst="rect">
                    <a:avLst/>
                  </a:prstGeom>
                </pic:spPr>
              </pic:pic>
            </a:graphicData>
          </a:graphic>
        </wp:anchor>
      </w:drawing>
    </w:r>
    <w:r w:rsidR="00B57561">
      <w:rPr>
        <w:noProof/>
      </w:rPr>
      <w:pict w14:anchorId="10801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50pt;height:50pt;z-index:251657728;visibility:hidden;mso-position-horizontal-relative:text;mso-position-vertical-relative:text">
          <v:path textpathok="f" o:connecttype="segments"/>
          <v:textpath on="f" fitshape="f"/>
          <o:lock v:ext="edit" selection="t" text="f" shapetype="f"/>
        </v:shape>
      </w:pict>
    </w:r>
    <w:r w:rsidR="00B57561">
      <w:rPr>
        <w:noProof/>
      </w:rPr>
      <w:pict w14:anchorId="1D1CBE61">
        <v:shape id="_x0000_s1025"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pStyle w:val="a"/>
      <w:lvlText w:val="%1)"/>
      <w:lvlJc w:val="left"/>
      <w:pPr>
        <w:tabs>
          <w:tab w:val="num" w:pos="720"/>
        </w:tabs>
        <w:ind w:left="720" w:hanging="360"/>
      </w:pPr>
      <w:rPr>
        <w:rFont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7C14BC"/>
    <w:multiLevelType w:val="hybridMultilevel"/>
    <w:tmpl w:val="60F88C08"/>
    <w:lvl w:ilvl="0" w:tplc="061480D0">
      <w:start w:val="1"/>
      <w:numFmt w:val="bullet"/>
      <w:lvlText w:val="•"/>
      <w:lvlJc w:val="left"/>
      <w:pPr>
        <w:ind w:left="800" w:hanging="400"/>
      </w:pPr>
      <w:rPr>
        <w:rFonts w:ascii="Batang" w:eastAsia="Batang" w:hAnsi="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ACD7F4F"/>
    <w:multiLevelType w:val="hybridMultilevel"/>
    <w:tmpl w:val="6D3AB23A"/>
    <w:lvl w:ilvl="0" w:tplc="AE1867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8DC262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A0F674B"/>
    <w:multiLevelType w:val="multilevel"/>
    <w:tmpl w:val="A5B8FAEA"/>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7E01D9"/>
    <w:multiLevelType w:val="multilevel"/>
    <w:tmpl w:val="0CB4D212"/>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94C7326"/>
    <w:multiLevelType w:val="multilevel"/>
    <w:tmpl w:val="31D6674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20951A9"/>
    <w:multiLevelType w:val="hybridMultilevel"/>
    <w:tmpl w:val="7280F23A"/>
    <w:lvl w:ilvl="0" w:tplc="241A65E8">
      <w:start w:val="1"/>
      <w:numFmt w:val="decimal"/>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effect w:val="none"/>
        <w:bdr w:val="none" w:sz="0" w:space="0" w:color="auto"/>
        <w:shd w:val="clear" w:color="000000" w:fill="000000"/>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61392462">
    <w:abstractNumId w:val="5"/>
  </w:num>
  <w:num w:numId="2" w16cid:durableId="1729107512">
    <w:abstractNumId w:val="20"/>
  </w:num>
  <w:num w:numId="3" w16cid:durableId="1439522754">
    <w:abstractNumId w:val="2"/>
  </w:num>
  <w:num w:numId="4" w16cid:durableId="1345128905">
    <w:abstractNumId w:val="13"/>
  </w:num>
  <w:num w:numId="5" w16cid:durableId="1215702513">
    <w:abstractNumId w:val="5"/>
    <w:lvlOverride w:ilvl="0">
      <w:startOverride w:val="3"/>
    </w:lvlOverride>
    <w:lvlOverride w:ilvl="1">
      <w:startOverride w:val="2"/>
    </w:lvlOverride>
    <w:lvlOverride w:ilvl="2">
      <w:startOverride w:val="1"/>
    </w:lvlOverride>
  </w:num>
  <w:num w:numId="6" w16cid:durableId="709913951">
    <w:abstractNumId w:val="7"/>
  </w:num>
  <w:num w:numId="7" w16cid:durableId="1238442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6396416">
    <w:abstractNumId w:val="16"/>
  </w:num>
  <w:num w:numId="9" w16cid:durableId="1272011389">
    <w:abstractNumId w:val="19"/>
  </w:num>
  <w:num w:numId="10" w16cid:durableId="1503548896">
    <w:abstractNumId w:val="15"/>
  </w:num>
  <w:num w:numId="11" w16cid:durableId="1492480800">
    <w:abstractNumId w:val="4"/>
  </w:num>
  <w:num w:numId="12" w16cid:durableId="627397667">
    <w:abstractNumId w:val="21"/>
  </w:num>
  <w:num w:numId="13" w16cid:durableId="346175278">
    <w:abstractNumId w:val="17"/>
  </w:num>
  <w:num w:numId="14" w16cid:durableId="1447041391">
    <w:abstractNumId w:val="14"/>
  </w:num>
  <w:num w:numId="15" w16cid:durableId="1551073083">
    <w:abstractNumId w:val="18"/>
  </w:num>
  <w:num w:numId="16" w16cid:durableId="1881354180">
    <w:abstractNumId w:val="8"/>
  </w:num>
  <w:num w:numId="17" w16cid:durableId="476994003">
    <w:abstractNumId w:val="11"/>
  </w:num>
  <w:num w:numId="18" w16cid:durableId="1416631366">
    <w:abstractNumId w:val="12"/>
  </w:num>
  <w:num w:numId="19" w16cid:durableId="2117871437">
    <w:abstractNumId w:val="1"/>
  </w:num>
  <w:num w:numId="20" w16cid:durableId="1816796195">
    <w:abstractNumId w:val="0"/>
  </w:num>
  <w:num w:numId="21" w16cid:durableId="196312498">
    <w:abstractNumId w:val="10"/>
  </w:num>
  <w:num w:numId="22" w16cid:durableId="1427118867">
    <w:abstractNumId w:val="3"/>
  </w:num>
  <w:num w:numId="23" w16cid:durableId="397679234">
    <w:abstractNumId w:val="9"/>
  </w:num>
  <w:num w:numId="24" w16cid:durableId="1418869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oNotDisplayPageBoundaries/>
  <w:displayBackgroundShape/>
  <w:bordersDoNotSurroundHeader/>
  <w:bordersDoNotSurroundFooter/>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4BB"/>
    <w:rsid w:val="00000DE3"/>
    <w:rsid w:val="000967FA"/>
    <w:rsid w:val="000B2E92"/>
    <w:rsid w:val="001C4F7F"/>
    <w:rsid w:val="003877C5"/>
    <w:rsid w:val="003A2EF0"/>
    <w:rsid w:val="003A48F5"/>
    <w:rsid w:val="003F3F51"/>
    <w:rsid w:val="004D6791"/>
    <w:rsid w:val="004E66D0"/>
    <w:rsid w:val="00523BB7"/>
    <w:rsid w:val="00656D31"/>
    <w:rsid w:val="006A11B9"/>
    <w:rsid w:val="006D6DC4"/>
    <w:rsid w:val="006F4513"/>
    <w:rsid w:val="00710AC0"/>
    <w:rsid w:val="007473FA"/>
    <w:rsid w:val="007E07BD"/>
    <w:rsid w:val="008424FC"/>
    <w:rsid w:val="008E462B"/>
    <w:rsid w:val="009013FA"/>
    <w:rsid w:val="0095628D"/>
    <w:rsid w:val="009B1C7B"/>
    <w:rsid w:val="00A01876"/>
    <w:rsid w:val="00A856DD"/>
    <w:rsid w:val="00B06CA7"/>
    <w:rsid w:val="00B57561"/>
    <w:rsid w:val="00B8117E"/>
    <w:rsid w:val="00B95ADB"/>
    <w:rsid w:val="00BE3C6D"/>
    <w:rsid w:val="00C12E1F"/>
    <w:rsid w:val="00CE4039"/>
    <w:rsid w:val="00D33242"/>
    <w:rsid w:val="00D45DEA"/>
    <w:rsid w:val="00DA3E24"/>
    <w:rsid w:val="00FD24BB"/>
  </w:rsids>
  <m:mathPr>
    <m:mathFont m:val="Cambria Math"/>
    <m:brkBin m:val="before"/>
    <m:brkBinSub m:val="--"/>
    <m:smallFrac m:val="0"/>
    <m:dispDef/>
    <m:lMargin m:val="0"/>
    <m:rMargin m:val="0"/>
    <m:defJc m:val="centerGroup"/>
    <m:wrapIndent m:val="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07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87" w:unhideWhenUsed="1"/>
    <w:lsdException w:name="toc 2" w:semiHidden="1" w:uiPriority="87" w:unhideWhenUsed="1"/>
    <w:lsdException w:name="toc 3" w:semiHidden="1" w:uiPriority="87" w:unhideWhenUsed="1"/>
    <w:lsdException w:name="toc 4" w:semiHidden="1" w:uiPriority="87"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83"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52"/>
    <w:lsdException w:name="Emphasis" w:uiPriority="50"/>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82"/>
    <w:lsdException w:name="Quote" w:qFormat="1"/>
    <w:lsdException w:name="Intense Quote" w:uiPriority="7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7"/>
    <w:lsdException w:name="Intense Emphasis" w:uiPriority="51"/>
    <w:lsdException w:name="Subtle Reference" w:uiPriority="73"/>
    <w:lsdException w:name="Intense Reference" w:uiPriority="80"/>
    <w:lsdException w:name="Book Title" w:uiPriority="81"/>
    <w:lsdException w:name="Bibliography" w:semiHidden="1" w:uiPriority="85" w:unhideWhenUsed="1"/>
    <w:lsdException w:name="TOC Heading" w:semiHidden="1" w:uiPriority="87"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Calibri"/>
      <w:sz w:val="22"/>
      <w:szCs w:val="22"/>
    </w:rPr>
  </w:style>
  <w:style w:type="paragraph" w:styleId="Heading1">
    <w:name w:val="heading 1"/>
    <w:basedOn w:val="Normal"/>
    <w:next w:val="Normal"/>
    <w:link w:val="Heading1Char"/>
    <w:qFormat/>
    <w:pPr>
      <w:keepNext/>
      <w:spacing w:before="240" w:after="240"/>
      <w:outlineLvl w:val="0"/>
    </w:pPr>
    <w:rPr>
      <w:rFonts w:ascii="Calibri" w:hAnsi="Calibri"/>
      <w:b/>
      <w:caps/>
      <w:color w:val="0070C0"/>
      <w:kern w:val="28"/>
      <w:sz w:val="24"/>
      <w:lang w:eastAsia="de-DE"/>
    </w:rPr>
  </w:style>
  <w:style w:type="paragraph" w:styleId="Heading2">
    <w:name w:val="heading 2"/>
    <w:basedOn w:val="Normal"/>
    <w:next w:val="Normal"/>
    <w:link w:val="Heading2Char"/>
    <w:qFormat/>
    <w:pPr>
      <w:spacing w:before="120" w:after="120"/>
      <w:outlineLvl w:val="1"/>
    </w:pPr>
    <w:rPr>
      <w:rFonts w:ascii="Calibri" w:hAnsi="Calibri"/>
      <w:b/>
      <w:color w:val="0070C0"/>
      <w:sz w:val="24"/>
      <w:szCs w:val="24"/>
    </w:rPr>
  </w:style>
  <w:style w:type="paragraph" w:styleId="Heading3">
    <w:name w:val="heading 3"/>
    <w:basedOn w:val="Normal"/>
    <w:next w:val="Normal"/>
    <w:link w:val="Heading3Char"/>
    <w:qFormat/>
    <w:pPr>
      <w:keepNext/>
      <w:spacing w:before="120" w:after="120"/>
      <w:outlineLvl w:val="2"/>
    </w:pPr>
    <w:rPr>
      <w:szCs w:val="20"/>
      <w:lang w:eastAsia="de-DE"/>
    </w:rPr>
  </w:style>
  <w:style w:type="paragraph" w:styleId="Heading4">
    <w:name w:val="heading 4"/>
    <w:basedOn w:val="Normal"/>
    <w:next w:val="Normal"/>
    <w:link w:val="Heading4Char"/>
    <w:pPr>
      <w:keepNext/>
      <w:spacing w:before="120" w:after="120"/>
      <w:outlineLvl w:val="3"/>
    </w:pPr>
    <w:rPr>
      <w:szCs w:val="20"/>
      <w:lang w:val="en-US" w:eastAsia="de-DE"/>
    </w:rPr>
  </w:style>
  <w:style w:type="paragraph" w:styleId="Heading5">
    <w:name w:val="heading 5"/>
    <w:basedOn w:val="Normal"/>
    <w:next w:val="Normal"/>
    <w:link w:val="Heading5Char"/>
    <w:pPr>
      <w:spacing w:before="240" w:after="120"/>
      <w:outlineLvl w:val="4"/>
    </w:pPr>
    <w:rPr>
      <w:rFonts w:eastAsia="Times New Roman" w:cs="Times New Roman"/>
      <w:szCs w:val="20"/>
      <w:lang w:val="de-DE" w:eastAsia="de-DE"/>
    </w:rPr>
  </w:style>
  <w:style w:type="paragraph" w:styleId="Heading6">
    <w:name w:val="heading 6"/>
    <w:basedOn w:val="Normal"/>
    <w:next w:val="Normal"/>
    <w:link w:val="Heading6Char"/>
    <w:pPr>
      <w:tabs>
        <w:tab w:val="left" w:pos="1418"/>
      </w:tabs>
      <w:spacing w:before="120" w:after="120"/>
      <w:outlineLvl w:val="5"/>
    </w:pPr>
    <w:rPr>
      <w:szCs w:val="20"/>
      <w:lang w:val="de-DE" w:eastAsia="de-DE"/>
    </w:rPr>
  </w:style>
  <w:style w:type="paragraph" w:styleId="Heading7">
    <w:name w:val="heading 7"/>
    <w:basedOn w:val="Normal"/>
    <w:next w:val="Normal"/>
    <w:link w:val="Heading7Char"/>
    <w:pPr>
      <w:tabs>
        <w:tab w:val="left" w:pos="1701"/>
      </w:tabs>
      <w:spacing w:before="120" w:after="120"/>
      <w:outlineLvl w:val="6"/>
    </w:pPr>
    <w:rPr>
      <w:szCs w:val="20"/>
      <w:lang w:val="de-DE" w:eastAsia="de-DE"/>
    </w:rPr>
  </w:style>
  <w:style w:type="paragraph" w:styleId="Heading8">
    <w:name w:val="heading 8"/>
    <w:basedOn w:val="Normal"/>
    <w:next w:val="Normal"/>
    <w:link w:val="Heading8Char"/>
    <w:pPr>
      <w:tabs>
        <w:tab w:val="left" w:pos="1985"/>
      </w:tabs>
      <w:spacing w:before="120" w:after="120"/>
      <w:outlineLvl w:val="7"/>
    </w:pPr>
    <w:rPr>
      <w:szCs w:val="20"/>
      <w:lang w:val="de-DE" w:eastAsia="de-DE"/>
    </w:rPr>
  </w:style>
  <w:style w:type="paragraph" w:styleId="Heading9">
    <w:name w:val="heading 9"/>
    <w:basedOn w:val="Normal"/>
    <w:next w:val="Normal"/>
    <w:link w:val="Heading9Char"/>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cs="Calibri"/>
      <w:b/>
      <w:caps/>
      <w:color w:val="0070C0"/>
      <w:kern w:val="28"/>
      <w:sz w:val="24"/>
      <w:szCs w:val="22"/>
      <w:lang w:eastAsia="de-DE"/>
    </w:rPr>
  </w:style>
  <w:style w:type="character" w:customStyle="1" w:styleId="Heading2Char">
    <w:name w:val="Heading 2 Char"/>
    <w:link w:val="Heading2"/>
    <w:rPr>
      <w:rFonts w:cs="Calibri"/>
      <w:b/>
      <w:color w:val="0070C0"/>
      <w:sz w:val="24"/>
      <w:szCs w:val="24"/>
    </w:rPr>
  </w:style>
  <w:style w:type="paragraph" w:customStyle="1" w:styleId="Annex">
    <w:name w:val="Annex"/>
    <w:basedOn w:val="Heading1"/>
    <w:next w:val="Normal"/>
    <w:qFormat/>
    <w:pPr>
      <w:numPr>
        <w:numId w:val="9"/>
      </w:numPr>
      <w:tabs>
        <w:tab w:val="left" w:pos="1701"/>
      </w:tabs>
      <w:jc w:val="both"/>
    </w:pPr>
    <w:rPr>
      <w:snapToGrid w:val="0"/>
      <w:kern w:val="0"/>
      <w:lang w:eastAsia="en-GB"/>
    </w:rPr>
  </w:style>
  <w:style w:type="paragraph" w:customStyle="1" w:styleId="AnnexFigure">
    <w:name w:val="Annex Figure"/>
    <w:basedOn w:val="Normal"/>
    <w:next w:val="Normal"/>
    <w:pPr>
      <w:numPr>
        <w:numId w:val="10"/>
      </w:numPr>
      <w:spacing w:before="120" w:after="120"/>
      <w:jc w:val="center"/>
    </w:pPr>
    <w:rPr>
      <w:i/>
    </w:rPr>
  </w:style>
  <w:style w:type="paragraph" w:customStyle="1" w:styleId="AnnexHeading1">
    <w:name w:val="Annex Heading 1"/>
    <w:basedOn w:val="Normal"/>
    <w:next w:val="Normal"/>
    <w:pPr>
      <w:numPr>
        <w:numId w:val="11"/>
      </w:numPr>
      <w:spacing w:before="120" w:after="120"/>
    </w:pPr>
    <w:rPr>
      <w:rFonts w:cs="Arial"/>
      <w:b/>
      <w:caps/>
      <w:sz w:val="24"/>
    </w:rPr>
  </w:style>
  <w:style w:type="paragraph" w:customStyle="1" w:styleId="AnnexHeading2">
    <w:name w:val="Annex Heading 2"/>
    <w:basedOn w:val="Normal"/>
    <w:next w:val="Normal"/>
    <w:pPr>
      <w:numPr>
        <w:ilvl w:val="1"/>
        <w:numId w:val="11"/>
      </w:numPr>
      <w:spacing w:before="120" w:after="120"/>
    </w:pPr>
    <w:rPr>
      <w:rFonts w:cs="Arial"/>
      <w:b/>
    </w:rPr>
  </w:style>
  <w:style w:type="paragraph" w:customStyle="1" w:styleId="AnnexHeading3">
    <w:name w:val="Annex Heading 3"/>
    <w:basedOn w:val="Normal"/>
    <w:next w:val="Normal"/>
    <w:pPr>
      <w:numPr>
        <w:ilvl w:val="2"/>
        <w:numId w:val="11"/>
      </w:numPr>
      <w:spacing w:before="120" w:after="120"/>
    </w:pPr>
    <w:rPr>
      <w:rFonts w:cs="Arial"/>
    </w:rPr>
  </w:style>
  <w:style w:type="paragraph" w:customStyle="1" w:styleId="AnnexHeading4">
    <w:name w:val="Annex Heading 4"/>
    <w:basedOn w:val="Normal"/>
    <w:next w:val="Normal"/>
    <w:pPr>
      <w:numPr>
        <w:ilvl w:val="3"/>
        <w:numId w:val="11"/>
      </w:numPr>
      <w:spacing w:before="120" w:after="120"/>
    </w:pPr>
    <w:rPr>
      <w:rFonts w:cs="Arial"/>
    </w:rPr>
  </w:style>
  <w:style w:type="paragraph" w:customStyle="1" w:styleId="AnnexTable">
    <w:name w:val="Annex Table"/>
    <w:basedOn w:val="Normal"/>
    <w:next w:val="Normal"/>
    <w:pPr>
      <w:numPr>
        <w:numId w:val="12"/>
      </w:numPr>
      <w:tabs>
        <w:tab w:val="left" w:pos="1418"/>
      </w:tabs>
      <w:spacing w:before="120" w:after="120"/>
      <w:jc w:val="center"/>
    </w:pPr>
    <w:rPr>
      <w:i/>
    </w:rPr>
  </w:style>
  <w:style w:type="paragraph" w:styleId="BodyText">
    <w:name w:val="Body Text"/>
    <w:basedOn w:val="Normal"/>
    <w:link w:val="BodyTextChar"/>
    <w:qFormat/>
    <w:pPr>
      <w:spacing w:after="120"/>
      <w:jc w:val="both"/>
    </w:pPr>
  </w:style>
  <w:style w:type="character" w:customStyle="1" w:styleId="BodyTextChar">
    <w:name w:val="Body Text Char"/>
    <w:link w:val="BodyText"/>
    <w:rPr>
      <w:rFonts w:ascii="Arial" w:hAnsi="Arial" w:cs="Times New Roman"/>
      <w:szCs w:val="24"/>
    </w:rPr>
  </w:style>
  <w:style w:type="paragraph" w:customStyle="1" w:styleId="Bullet1">
    <w:name w:val="Bullet 1"/>
    <w:basedOn w:val="Normal"/>
    <w:qFormat/>
    <w:pPr>
      <w:numPr>
        <w:numId w:val="13"/>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pPr>
      <w:suppressAutoHyphens/>
      <w:spacing w:after="120"/>
      <w:ind w:left="1134"/>
      <w:jc w:val="both"/>
    </w:pPr>
    <w:rPr>
      <w:rFonts w:cs="Arial"/>
      <w:lang w:val="fr-FR"/>
    </w:rPr>
  </w:style>
  <w:style w:type="paragraph" w:customStyle="1" w:styleId="Bullet2">
    <w:name w:val="Bullet 2"/>
    <w:basedOn w:val="Normal"/>
    <w:qFormat/>
    <w:pPr>
      <w:numPr>
        <w:numId w:val="8"/>
      </w:numPr>
      <w:tabs>
        <w:tab w:val="left" w:pos="1701"/>
      </w:tabs>
      <w:spacing w:after="120"/>
      <w:ind w:left="1701" w:hanging="567"/>
      <w:jc w:val="both"/>
    </w:pPr>
    <w:rPr>
      <w:rFonts w:cs="Arial"/>
    </w:rPr>
  </w:style>
  <w:style w:type="paragraph" w:customStyle="1" w:styleId="Bullet2text">
    <w:name w:val="Bullet 2 text"/>
    <w:basedOn w:val="Normal"/>
    <w:pPr>
      <w:suppressAutoHyphens/>
      <w:spacing w:after="120"/>
      <w:ind w:left="1701"/>
      <w:jc w:val="both"/>
    </w:pPr>
    <w:rPr>
      <w:rFonts w:cs="Arial"/>
    </w:rPr>
  </w:style>
  <w:style w:type="paragraph" w:customStyle="1" w:styleId="Bullet3">
    <w:name w:val="Bullet 3"/>
    <w:basedOn w:val="Normal"/>
    <w:pPr>
      <w:numPr>
        <w:numId w:val="14"/>
      </w:numPr>
      <w:tabs>
        <w:tab w:val="left" w:pos="2268"/>
      </w:tabs>
      <w:spacing w:after="60"/>
      <w:ind w:left="2268" w:hanging="567"/>
      <w:jc w:val="both"/>
    </w:pPr>
    <w:rPr>
      <w:rFonts w:cs="Arial"/>
      <w:sz w:val="20"/>
    </w:rPr>
  </w:style>
  <w:style w:type="paragraph" w:customStyle="1" w:styleId="Bullet3text">
    <w:name w:val="Bullet 3 text"/>
    <w:basedOn w:val="Normal"/>
    <w:pPr>
      <w:suppressAutoHyphens/>
      <w:spacing w:after="60"/>
      <w:ind w:left="2268"/>
    </w:pPr>
    <w:rPr>
      <w:rFonts w:cs="Arial"/>
      <w:sz w:val="20"/>
    </w:rPr>
  </w:style>
  <w:style w:type="paragraph" w:customStyle="1" w:styleId="Figure">
    <w:name w:val="Figure_#"/>
    <w:basedOn w:val="Normal"/>
    <w:next w:val="Normal"/>
    <w:qFormat/>
    <w:pPr>
      <w:numPr>
        <w:numId w:val="2"/>
      </w:numPr>
      <w:spacing w:before="120" w:after="120"/>
      <w:jc w:val="center"/>
    </w:pPr>
    <w:rPr>
      <w:i/>
      <w:szCs w:val="20"/>
    </w:rPr>
  </w:style>
  <w:style w:type="paragraph" w:styleId="Footer">
    <w:name w:val="footer"/>
    <w:basedOn w:val="Normal"/>
    <w:link w:val="FooterChar"/>
    <w:pPr>
      <w:tabs>
        <w:tab w:val="center" w:pos="4820"/>
        <w:tab w:val="right" w:pos="9639"/>
      </w:tabs>
    </w:pPr>
  </w:style>
  <w:style w:type="character" w:customStyle="1" w:styleId="FooterChar">
    <w:name w:val="Footer Char"/>
    <w:link w:val="Footer"/>
    <w:rPr>
      <w:rFonts w:ascii="Arial" w:hAnsi="Arial" w:cs="Times New Roman"/>
      <w:szCs w:val="24"/>
    </w:rPr>
  </w:style>
  <w:style w:type="paragraph" w:styleId="Header">
    <w:name w:val="header"/>
    <w:basedOn w:val="Normal"/>
    <w:link w:val="HeaderChar"/>
    <w:pPr>
      <w:tabs>
        <w:tab w:val="center" w:pos="4820"/>
        <w:tab w:val="right" w:pos="9639"/>
      </w:tabs>
    </w:pPr>
  </w:style>
  <w:style w:type="character" w:customStyle="1" w:styleId="HeaderChar">
    <w:name w:val="Header Char"/>
    <w:link w:val="Header"/>
    <w:rPr>
      <w:rFonts w:ascii="Arial" w:eastAsia="Calibri" w:hAnsi="Arial" w:cs="Times New Roman"/>
      <w:szCs w:val="24"/>
      <w:lang w:eastAsia="en-GB"/>
    </w:rPr>
  </w:style>
  <w:style w:type="character" w:customStyle="1" w:styleId="Heading3Char">
    <w:name w:val="Heading 3 Char"/>
    <w:link w:val="Heading3"/>
    <w:rPr>
      <w:rFonts w:ascii="Arial" w:hAnsi="Arial" w:cs="Calibri"/>
      <w:sz w:val="22"/>
      <w:lang w:eastAsia="de-DE"/>
    </w:rPr>
  </w:style>
  <w:style w:type="character" w:customStyle="1" w:styleId="Heading4Char">
    <w:name w:val="Heading 4 Char"/>
    <w:link w:val="Heading4"/>
    <w:rPr>
      <w:rFonts w:ascii="Arial" w:hAnsi="Arial" w:cs="Calibri"/>
      <w:sz w:val="22"/>
      <w:lang w:val="en-US" w:eastAsia="de-DE"/>
    </w:rPr>
  </w:style>
  <w:style w:type="character" w:customStyle="1" w:styleId="Heading5Char">
    <w:name w:val="Heading 5 Char"/>
    <w:link w:val="Heading5"/>
    <w:rPr>
      <w:rFonts w:ascii="Arial" w:eastAsia="Times New Roman" w:hAnsi="Arial"/>
      <w:sz w:val="22"/>
      <w:lang w:val="de-DE" w:eastAsia="de-DE"/>
    </w:rPr>
  </w:style>
  <w:style w:type="character" w:customStyle="1" w:styleId="Heading6Char">
    <w:name w:val="Heading 6 Char"/>
    <w:link w:val="Heading6"/>
    <w:rPr>
      <w:rFonts w:ascii="Arial" w:hAnsi="Arial" w:cs="Calibri"/>
      <w:sz w:val="22"/>
      <w:lang w:val="de-DE" w:eastAsia="de-DE"/>
    </w:rPr>
  </w:style>
  <w:style w:type="character" w:customStyle="1" w:styleId="Heading7Char">
    <w:name w:val="Heading 7 Char"/>
    <w:link w:val="Heading7"/>
    <w:rPr>
      <w:rFonts w:ascii="Arial" w:hAnsi="Arial" w:cs="Calibri"/>
      <w:sz w:val="22"/>
      <w:lang w:val="de-DE" w:eastAsia="de-DE"/>
    </w:rPr>
  </w:style>
  <w:style w:type="character" w:customStyle="1" w:styleId="Heading8Char">
    <w:name w:val="Heading 8 Char"/>
    <w:link w:val="Heading8"/>
    <w:rPr>
      <w:rFonts w:ascii="Arial" w:hAnsi="Arial" w:cs="Calibri"/>
      <w:sz w:val="22"/>
      <w:lang w:val="de-DE" w:eastAsia="de-DE"/>
    </w:rPr>
  </w:style>
  <w:style w:type="character" w:customStyle="1" w:styleId="Heading9Char">
    <w:name w:val="Heading 9 Char"/>
    <w:link w:val="Heading9"/>
    <w:rPr>
      <w:rFonts w:ascii="Arial" w:hAnsi="Arial" w:cs="Calibri"/>
      <w:sz w:val="22"/>
      <w:lang w:val="de-DE" w:eastAsia="de-DE"/>
    </w:rPr>
  </w:style>
  <w:style w:type="character" w:styleId="Hyperlink">
    <w:name w:val="Hyperlink"/>
    <w:uiPriority w:val="99"/>
    <w:rPr>
      <w:dstrike w:val="0"/>
      <w:bdr w:val="none" w:sz="0" w:space="0" w:color="auto"/>
      <w:vertAlign w:val="baseline"/>
    </w:rPr>
  </w:style>
  <w:style w:type="paragraph" w:customStyle="1" w:styleId="List1">
    <w:name w:val="List 1"/>
    <w:basedOn w:val="Normal"/>
    <w:qFormat/>
    <w:pPr>
      <w:spacing w:after="120"/>
      <w:jc w:val="both"/>
    </w:pPr>
    <w:rPr>
      <w:rFonts w:eastAsia="MS Mincho"/>
      <w:lang w:eastAsia="ja-JP"/>
    </w:rPr>
  </w:style>
  <w:style w:type="paragraph" w:customStyle="1" w:styleId="List1indent2">
    <w:name w:val="List 1 indent 2"/>
    <w:basedOn w:val="Normal"/>
    <w:pPr>
      <w:widowControl w:val="0"/>
      <w:autoSpaceDE w:val="0"/>
      <w:autoSpaceDN w:val="0"/>
      <w:spacing w:after="120"/>
      <w:jc w:val="both"/>
    </w:pPr>
    <w:rPr>
      <w:rFonts w:cs="Arial"/>
      <w:sz w:val="20"/>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List1indenttext">
    <w:name w:val="List 1 indent text"/>
    <w:basedOn w:val="Normal"/>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character" w:styleId="PageNumber">
    <w:name w:val="page number"/>
    <w:basedOn w:val="DefaultParagraphFont"/>
  </w:style>
  <w:style w:type="paragraph" w:styleId="TableofFigures">
    <w:name w:val="table of figures"/>
    <w:basedOn w:val="Normal"/>
    <w:next w:val="Normal"/>
    <w:uiPriority w:val="99"/>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15"/>
      </w:numPr>
      <w:spacing w:before="120" w:after="120"/>
      <w:jc w:val="center"/>
    </w:pPr>
    <w:rPr>
      <w:i/>
      <w:szCs w:val="20"/>
    </w:rPr>
  </w:style>
  <w:style w:type="paragraph" w:styleId="TOC1">
    <w:name w:val="toc 1"/>
    <w:basedOn w:val="Normal"/>
    <w:next w:val="Normal"/>
    <w:uiPriority w:val="39"/>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numbering" w:styleId="ArticleSection">
    <w:name w:val="Outline List 3"/>
    <w:basedOn w:val="NoList"/>
    <w:pPr>
      <w:numPr>
        <w:numId w:val="16"/>
      </w:numPr>
    </w:pPr>
  </w:style>
  <w:style w:type="paragraph" w:styleId="BodyTextIndent">
    <w:name w:val="Body Text Indent"/>
    <w:basedOn w:val="Normal"/>
    <w:link w:val="BodyTextIndentChar"/>
    <w:pPr>
      <w:spacing w:after="120"/>
      <w:ind w:left="567"/>
    </w:pPr>
  </w:style>
  <w:style w:type="character" w:customStyle="1" w:styleId="BodyTextIndentChar">
    <w:name w:val="Body Text Indent Char"/>
    <w:link w:val="BodyTextIndent"/>
    <w:rPr>
      <w:rFonts w:ascii="Arial" w:hAnsi="Arial" w:cs="Times New Roman"/>
      <w:szCs w:val="24"/>
    </w:rPr>
  </w:style>
  <w:style w:type="paragraph" w:styleId="BodyTextIndent2">
    <w:name w:val="Body Text Indent 2"/>
    <w:basedOn w:val="Normal"/>
    <w:link w:val="BodyTextIndent2Char"/>
    <w:pPr>
      <w:spacing w:after="120"/>
      <w:ind w:left="1134"/>
      <w:jc w:val="both"/>
    </w:pPr>
    <w:rPr>
      <w:lang w:eastAsia="de-DE"/>
    </w:rPr>
  </w:style>
  <w:style w:type="character" w:customStyle="1" w:styleId="BodyTextIndent2Char">
    <w:name w:val="Body Text Indent 2 Char"/>
    <w:link w:val="BodyTextIndent2"/>
    <w:rPr>
      <w:rFonts w:ascii="Arial" w:hAnsi="Arial" w:cs="Times New Roman"/>
      <w:szCs w:val="24"/>
      <w:lang w:eastAsia="de-DE"/>
    </w:rPr>
  </w:style>
  <w:style w:type="character" w:styleId="FootnoteReference">
    <w:name w:val="footnote reference"/>
    <w:semiHidden/>
    <w:rPr>
      <w:rFonts w:ascii="Arial" w:hAnsi="Arial"/>
      <w:sz w:val="16"/>
    </w:rPr>
  </w:style>
  <w:style w:type="paragraph" w:styleId="FootnoteText">
    <w:name w:val="footnote text"/>
    <w:basedOn w:val="Normal"/>
    <w:link w:val="FootnoteTextChar"/>
    <w:semiHidden/>
    <w:rPr>
      <w:sz w:val="20"/>
      <w:szCs w:val="20"/>
    </w:rPr>
  </w:style>
  <w:style w:type="character" w:customStyle="1" w:styleId="FootnoteTextChar">
    <w:name w:val="Footnote Text Char"/>
    <w:link w:val="FootnoteText"/>
    <w:semiHidden/>
    <w:rPr>
      <w:rFonts w:ascii="Arial" w:hAnsi="Arial" w:cs="Times New Roman"/>
      <w:sz w:val="20"/>
      <w:szCs w:val="20"/>
    </w:rPr>
  </w:style>
  <w:style w:type="paragraph" w:styleId="Subtitle">
    <w:name w:val="Subtitle"/>
    <w:basedOn w:val="Normal"/>
    <w:link w:val="SubtitleChar"/>
    <w:qFormat/>
    <w:pPr>
      <w:spacing w:after="60"/>
      <w:jc w:val="center"/>
      <w:outlineLvl w:val="1"/>
    </w:pPr>
    <w:rPr>
      <w:rFonts w:cs="Arial"/>
    </w:rPr>
  </w:style>
  <w:style w:type="character" w:customStyle="1" w:styleId="SubtitleChar">
    <w:name w:val="Subtitle Char"/>
    <w:link w:val="Subtitle"/>
    <w:rPr>
      <w:rFonts w:ascii="Arial" w:hAnsi="Arial" w:cs="Arial"/>
      <w:szCs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character" w:customStyle="1" w:styleId="TitleChar">
    <w:name w:val="Title Char"/>
    <w:link w:val="Title"/>
    <w:rPr>
      <w:rFonts w:ascii="Arial" w:hAnsi="Arial" w:cs="Arial"/>
      <w:b/>
      <w:bCs/>
      <w:kern w:val="28"/>
      <w:sz w:val="32"/>
      <w:szCs w:val="32"/>
    </w:rPr>
  </w:style>
  <w:style w:type="paragraph" w:customStyle="1" w:styleId="List1indent1">
    <w:name w:val="List 1 indent 1"/>
    <w:basedOn w:val="Normal"/>
    <w:qFormat/>
    <w:pPr>
      <w:spacing w:after="120"/>
      <w:jc w:val="both"/>
    </w:pPr>
    <w:rPr>
      <w:rFonts w:cs="Arial"/>
    </w:rPr>
  </w:style>
  <w:style w:type="paragraph" w:customStyle="1" w:styleId="List1indent1text">
    <w:name w:val="List 1 indent 1 text"/>
    <w:basedOn w:val="Normal"/>
    <w:pPr>
      <w:spacing w:after="120"/>
      <w:ind w:left="1134"/>
      <w:jc w:val="both"/>
    </w:pPr>
    <w:rPr>
      <w:rFonts w:cs="Arial"/>
      <w:lang w:eastAsia="fr-FR"/>
    </w:rPr>
  </w:style>
  <w:style w:type="paragraph" w:customStyle="1" w:styleId="References">
    <w:name w:val="References"/>
    <w:basedOn w:val="Normal"/>
    <w:qFormat/>
    <w:pPr>
      <w:spacing w:after="120"/>
    </w:pPr>
    <w:rPr>
      <w:szCs w:val="20"/>
    </w:rPr>
  </w:style>
  <w:style w:type="paragraph" w:customStyle="1" w:styleId="AppendixHeading1">
    <w:name w:val="Appendix Heading 1"/>
    <w:basedOn w:val="Normal"/>
    <w:next w:val="BodyText"/>
    <w:pPr>
      <w:numPr>
        <w:numId w:val="17"/>
      </w:numPr>
      <w:spacing w:before="120" w:after="120"/>
    </w:pPr>
    <w:rPr>
      <w:rFonts w:cs="Arial"/>
      <w:b/>
      <w:caps/>
      <w:sz w:val="24"/>
    </w:rPr>
  </w:style>
  <w:style w:type="paragraph" w:customStyle="1" w:styleId="AppendixHeading2">
    <w:name w:val="Appendix Heading 2"/>
    <w:basedOn w:val="Normal"/>
    <w:next w:val="BodyText"/>
    <w:pPr>
      <w:numPr>
        <w:ilvl w:val="1"/>
        <w:numId w:val="17"/>
      </w:numPr>
      <w:spacing w:before="120" w:after="120"/>
    </w:pPr>
    <w:rPr>
      <w:rFonts w:cs="Arial"/>
      <w:b/>
    </w:rPr>
  </w:style>
  <w:style w:type="paragraph" w:customStyle="1" w:styleId="AppendixHeading3">
    <w:name w:val="Appendix Heading 3"/>
    <w:basedOn w:val="Normal"/>
    <w:next w:val="Normal"/>
    <w:pPr>
      <w:numPr>
        <w:ilvl w:val="2"/>
        <w:numId w:val="17"/>
      </w:numPr>
      <w:spacing w:before="120" w:after="120"/>
    </w:pPr>
    <w:rPr>
      <w:rFonts w:cs="Arial"/>
    </w:rPr>
  </w:style>
  <w:style w:type="paragraph" w:customStyle="1" w:styleId="AppendixHeading4">
    <w:name w:val="Appendix Heading 4"/>
    <w:basedOn w:val="Normal"/>
    <w:next w:val="BodyText"/>
    <w:pPr>
      <w:numPr>
        <w:ilvl w:val="3"/>
        <w:numId w:val="17"/>
      </w:numPr>
      <w:spacing w:before="120" w:after="120"/>
    </w:pPr>
    <w:rPr>
      <w:rFonts w:cs="Arial"/>
    </w:rPr>
  </w:style>
  <w:style w:type="paragraph" w:customStyle="1" w:styleId="equation">
    <w:name w:val="equation"/>
    <w:basedOn w:val="Normal"/>
    <w:next w:val="BodyText"/>
    <w:qFormat/>
    <w:pPr>
      <w:keepNext/>
      <w:numPr>
        <w:numId w:val="18"/>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cs="Calibri"/>
      <w:b/>
      <w:bCs/>
    </w:rPr>
  </w:style>
  <w:style w:type="paragraph" w:customStyle="1" w:styleId="a0">
    <w:name w:val="바탕글"/>
    <w:basedOn w:val="Normal"/>
    <w:pPr>
      <w:widowControl w:val="0"/>
      <w:wordWrap w:val="0"/>
      <w:autoSpaceDE w:val="0"/>
      <w:autoSpaceDN w:val="0"/>
      <w:snapToGrid w:val="0"/>
      <w:spacing w:line="384" w:lineRule="auto"/>
      <w:jc w:val="both"/>
      <w:textAlignment w:val="baseline"/>
    </w:pPr>
    <w:rPr>
      <w:rFonts w:ascii="한양신명조" w:eastAsia="Gulim" w:hAnsi="Gulim" w:cs="Gulim"/>
      <w:color w:val="000000"/>
      <w:sz w:val="20"/>
      <w:szCs w:val="20"/>
      <w:lang w:val="en-US" w:eastAsia="ko-KR"/>
    </w:rPr>
  </w:style>
  <w:style w:type="paragraph" w:customStyle="1" w:styleId="a">
    <w:name w:val="동그라미"/>
    <w:basedOn w:val="Normal"/>
    <w:pPr>
      <w:widowControl w:val="0"/>
      <w:numPr>
        <w:numId w:val="20"/>
      </w:numPr>
      <w:wordWrap w:val="0"/>
      <w:autoSpaceDE w:val="0"/>
      <w:autoSpaceDN w:val="0"/>
      <w:spacing w:before="40" w:after="40" w:line="384" w:lineRule="auto"/>
      <w:ind w:left="80"/>
      <w:jc w:val="both"/>
      <w:textAlignment w:val="baseline"/>
    </w:pPr>
    <w:rPr>
      <w:rFonts w:ascii="함초롬바탕" w:eastAsia="Gulim" w:hAnsi="Gulim" w:cs="Gulim"/>
      <w:color w:val="000000"/>
      <w:spacing w:val="-6"/>
      <w:sz w:val="20"/>
      <w:szCs w:val="20"/>
      <w:lang w:val="en-US" w:eastAsia="ko-KR"/>
    </w:rPr>
  </w:style>
  <w:style w:type="paragraph" w:styleId="Caption">
    <w:name w:val="caption"/>
    <w:basedOn w:val="Normal"/>
    <w:next w:val="Normal"/>
    <w:uiPriority w:val="35"/>
    <w:unhideWhenUsed/>
    <w:qFormat/>
    <w:rPr>
      <w:b/>
      <w:bCs/>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rPr>
      <w:rFonts w:ascii="Arial" w:hAnsi="Arial" w:cs="Calibri"/>
      <w:sz w:val="22"/>
      <w:szCs w:val="22"/>
    </w:rPr>
  </w:style>
  <w:style w:type="paragraph" w:styleId="Revision">
    <w:name w:val="Revision"/>
    <w:hidden/>
    <w:uiPriority w:val="99"/>
    <w:semiHidden/>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00BFA9-C3B6-485F-907E-A7AC6E41C9AC}">
  <ds:schemaRefs>
    <ds:schemaRef ds:uri="http://schemas.microsoft.com/sharepoint/v3/contenttype/forms"/>
  </ds:schemaRefs>
</ds:datastoreItem>
</file>

<file path=customXml/itemProps2.xml><?xml version="1.0" encoding="utf-8"?>
<ds:datastoreItem xmlns:ds="http://schemas.openxmlformats.org/officeDocument/2006/customXml" ds:itemID="{23E312BE-2927-4D88-94EC-7E2E7FE1B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1376</Words>
  <Characters>7571</Characters>
  <Application>Microsoft Office Word</Application>
  <DocSecurity>0</DocSecurity>
  <Lines>63</Lines>
  <Paragraphs>17</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2023-08-28T08:58:00Z</dcterms:created>
  <dcterms:modified xsi:type="dcterms:W3CDTF">2023-08-28T15:26:00Z</dcterms:modified>
  <cp:version>1100.0100.01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NSCPROP_SA">
    <vt:lpwstr>C:\Users\SJLEE\Downloads\DTEC1-5.0 Input paper Committee meeting template-VDES.docx</vt:lpwstr>
  </property>
  <property fmtid="{D5CDD505-2E9C-101B-9397-08002B2CF9AE}" pid="5" name="GrammarlyDocumentId">
    <vt:lpwstr>0fdd07202ba495ca73f029313124367c4b29b5c90fb032aec84905decc4b8306</vt:lpwstr>
  </property>
</Properties>
</file>