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2943E9" w14:textId="1C228C45" w:rsidR="00FB45A9"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B45A9">
        <w:t>1</w:t>
      </w:r>
      <w:r w:rsidR="00FB45A9">
        <w:rPr>
          <w:rFonts w:eastAsiaTheme="minorEastAsia"/>
          <w:b w:val="0"/>
          <w:color w:val="auto"/>
          <w:lang w:val="en-US"/>
        </w:rPr>
        <w:tab/>
      </w:r>
      <w:r w:rsidR="00FB45A9">
        <w:t>Introduction</w:t>
      </w:r>
      <w:r w:rsidR="00FB45A9">
        <w:tab/>
      </w:r>
      <w:r w:rsidR="00FB45A9">
        <w:fldChar w:fldCharType="begin"/>
      </w:r>
      <w:r w:rsidR="00FB45A9">
        <w:instrText xml:space="preserve"> PAGEREF _Toc67347925 \h </w:instrText>
      </w:r>
      <w:r w:rsidR="00FB45A9">
        <w:fldChar w:fldCharType="separate"/>
      </w:r>
      <w:r w:rsidR="00FB45A9">
        <w:t>4</w:t>
      </w:r>
      <w:r w:rsidR="00FB45A9">
        <w:fldChar w:fldCharType="end"/>
      </w:r>
    </w:p>
    <w:p w14:paraId="171F0B27" w14:textId="010F054A" w:rsidR="00FB45A9" w:rsidRDefault="00FB45A9">
      <w:pPr>
        <w:pStyle w:val="TOC2"/>
        <w:rPr>
          <w:rFonts w:eastAsiaTheme="minorEastAsia"/>
          <w:color w:val="auto"/>
          <w:lang w:val="en-US"/>
        </w:rPr>
      </w:pPr>
      <w:r>
        <w:t>1.1</w:t>
      </w:r>
      <w:r>
        <w:rPr>
          <w:rFonts w:eastAsiaTheme="minorEastAsia"/>
          <w:color w:val="auto"/>
          <w:lang w:val="en-US"/>
        </w:rPr>
        <w:tab/>
      </w:r>
      <w:r>
        <w:t>IMT and 3GPP</w:t>
      </w:r>
      <w:r>
        <w:tab/>
      </w:r>
      <w:r>
        <w:fldChar w:fldCharType="begin"/>
      </w:r>
      <w:r>
        <w:instrText xml:space="preserve"> PAGEREF _Toc67347926 \h </w:instrText>
      </w:r>
      <w:r>
        <w:fldChar w:fldCharType="separate"/>
      </w:r>
      <w:r>
        <w:t>4</w:t>
      </w:r>
      <w:r>
        <w:fldChar w:fldCharType="end"/>
      </w:r>
    </w:p>
    <w:p w14:paraId="1CFB91EA" w14:textId="104280CD" w:rsidR="00FB45A9" w:rsidRDefault="00FB45A9">
      <w:pPr>
        <w:pStyle w:val="TOC1"/>
        <w:rPr>
          <w:rFonts w:eastAsiaTheme="minorEastAsia"/>
          <w:b w:val="0"/>
          <w:color w:val="auto"/>
          <w:lang w:val="en-US"/>
        </w:rPr>
      </w:pPr>
      <w:r>
        <w:t>2</w:t>
      </w:r>
      <w:r>
        <w:rPr>
          <w:rFonts w:eastAsiaTheme="minorEastAsia"/>
          <w:b w:val="0"/>
          <w:color w:val="auto"/>
          <w:lang w:val="en-US"/>
        </w:rPr>
        <w:tab/>
      </w:r>
      <w:r>
        <w:t>Background</w:t>
      </w:r>
      <w:r>
        <w:tab/>
      </w:r>
      <w:r>
        <w:fldChar w:fldCharType="begin"/>
      </w:r>
      <w:r>
        <w:instrText xml:space="preserve"> PAGEREF _Toc67347927 \h </w:instrText>
      </w:r>
      <w:r>
        <w:fldChar w:fldCharType="separate"/>
      </w:r>
      <w:r>
        <w:t>5</w:t>
      </w:r>
      <w:r>
        <w:fldChar w:fldCharType="end"/>
      </w:r>
    </w:p>
    <w:p w14:paraId="7A198111" w14:textId="4632347F" w:rsidR="00FB45A9" w:rsidRDefault="00FB45A9">
      <w:pPr>
        <w:pStyle w:val="TOC1"/>
        <w:rPr>
          <w:rFonts w:eastAsiaTheme="minorEastAsia"/>
          <w:b w:val="0"/>
          <w:color w:val="auto"/>
          <w:lang w:val="en-US"/>
        </w:rPr>
      </w:pPr>
      <w:r>
        <w:t>3</w:t>
      </w:r>
      <w:r>
        <w:rPr>
          <w:rFonts w:eastAsiaTheme="minorEastAsia"/>
          <w:b w:val="0"/>
          <w:color w:val="auto"/>
          <w:lang w:val="en-US"/>
        </w:rPr>
        <w:tab/>
      </w:r>
      <w:r>
        <w:t>Aims and Objectives</w:t>
      </w:r>
      <w:r>
        <w:tab/>
      </w:r>
      <w:r>
        <w:fldChar w:fldCharType="begin"/>
      </w:r>
      <w:r>
        <w:instrText xml:space="preserve"> PAGEREF _Toc67347928 \h </w:instrText>
      </w:r>
      <w:r>
        <w:fldChar w:fldCharType="separate"/>
      </w:r>
      <w:r>
        <w:t>6</w:t>
      </w:r>
      <w:r>
        <w:fldChar w:fldCharType="end"/>
      </w:r>
    </w:p>
    <w:p w14:paraId="3F7958D2" w14:textId="4C136D41" w:rsidR="00FB45A9" w:rsidRDefault="00FB45A9">
      <w:pPr>
        <w:pStyle w:val="TOC1"/>
        <w:rPr>
          <w:rFonts w:eastAsiaTheme="minorEastAsia"/>
          <w:b w:val="0"/>
          <w:color w:val="auto"/>
          <w:lang w:val="en-US"/>
        </w:rPr>
      </w:pPr>
      <w:r>
        <w:t>4</w:t>
      </w:r>
      <w:r>
        <w:rPr>
          <w:rFonts w:eastAsiaTheme="minorEastAsia"/>
          <w:b w:val="0"/>
          <w:color w:val="auto"/>
          <w:lang w:val="en-US"/>
        </w:rPr>
        <w:tab/>
      </w:r>
      <w:r>
        <w:t>Overview of IMT in the maritime domain</w:t>
      </w:r>
      <w:r>
        <w:tab/>
      </w:r>
      <w:r>
        <w:fldChar w:fldCharType="begin"/>
      </w:r>
      <w:r>
        <w:instrText xml:space="preserve"> PAGEREF _Toc67347929 \h </w:instrText>
      </w:r>
      <w:r>
        <w:fldChar w:fldCharType="separate"/>
      </w:r>
      <w:r>
        <w:t>6</w:t>
      </w:r>
      <w:r>
        <w:fldChar w:fldCharType="end"/>
      </w:r>
    </w:p>
    <w:p w14:paraId="2D513CA4" w14:textId="4AE83863" w:rsidR="00FB45A9" w:rsidRDefault="00FB45A9">
      <w:pPr>
        <w:pStyle w:val="TOC1"/>
        <w:rPr>
          <w:rFonts w:eastAsiaTheme="minorEastAsia"/>
          <w:b w:val="0"/>
          <w:color w:val="auto"/>
          <w:lang w:val="en-US"/>
        </w:rPr>
      </w:pPr>
      <w:r>
        <w:t>5</w:t>
      </w:r>
      <w:r>
        <w:rPr>
          <w:rFonts w:eastAsiaTheme="minorEastAsia"/>
          <w:b w:val="0"/>
          <w:color w:val="auto"/>
          <w:lang w:val="en-US"/>
        </w:rPr>
        <w:tab/>
      </w:r>
      <w:r>
        <w:t>IMT and Maritime Services</w:t>
      </w:r>
      <w:r>
        <w:tab/>
      </w:r>
      <w:r>
        <w:fldChar w:fldCharType="begin"/>
      </w:r>
      <w:r>
        <w:instrText xml:space="preserve"> PAGEREF _Toc67347930 \h </w:instrText>
      </w:r>
      <w:r>
        <w:fldChar w:fldCharType="separate"/>
      </w:r>
      <w:r>
        <w:t>6</w:t>
      </w:r>
      <w:r>
        <w:fldChar w:fldCharType="end"/>
      </w:r>
    </w:p>
    <w:p w14:paraId="20903CF1" w14:textId="176F3CAD" w:rsidR="00FB45A9" w:rsidRDefault="00FB45A9">
      <w:pPr>
        <w:pStyle w:val="TOC2"/>
        <w:rPr>
          <w:rFonts w:eastAsiaTheme="minorEastAsia"/>
          <w:color w:val="auto"/>
          <w:lang w:val="en-US"/>
        </w:rPr>
      </w:pPr>
      <w:r>
        <w:t>5.1</w:t>
      </w:r>
      <w:r>
        <w:rPr>
          <w:rFonts w:eastAsiaTheme="minorEastAsia"/>
          <w:color w:val="auto"/>
          <w:lang w:val="en-US"/>
        </w:rPr>
        <w:tab/>
      </w:r>
      <w:r>
        <w:t>Use of IMT to support Marine Aids to Navgation Provision</w:t>
      </w:r>
      <w:r>
        <w:tab/>
      </w:r>
      <w:r>
        <w:fldChar w:fldCharType="begin"/>
      </w:r>
      <w:r>
        <w:instrText xml:space="preserve"> PAGEREF _Toc67347931 \h </w:instrText>
      </w:r>
      <w:r>
        <w:fldChar w:fldCharType="separate"/>
      </w:r>
      <w:r>
        <w:t>7</w:t>
      </w:r>
      <w:r>
        <w:fldChar w:fldCharType="end"/>
      </w:r>
    </w:p>
    <w:p w14:paraId="587EA977" w14:textId="0EF9B150" w:rsidR="00FB45A9" w:rsidRDefault="00FB45A9">
      <w:pPr>
        <w:pStyle w:val="TOC1"/>
        <w:rPr>
          <w:rFonts w:eastAsiaTheme="minorEastAsia"/>
          <w:b w:val="0"/>
          <w:color w:val="auto"/>
          <w:lang w:val="en-US"/>
        </w:rPr>
      </w:pPr>
      <w:r>
        <w:t>6</w:t>
      </w:r>
      <w:r>
        <w:rPr>
          <w:rFonts w:eastAsiaTheme="minorEastAsia"/>
          <w:b w:val="0"/>
          <w:color w:val="auto"/>
          <w:lang w:val="en-US"/>
        </w:rPr>
        <w:tab/>
      </w:r>
      <w:r>
        <w:t>Development of IMT</w:t>
      </w:r>
      <w:r>
        <w:tab/>
      </w:r>
      <w:r>
        <w:fldChar w:fldCharType="begin"/>
      </w:r>
      <w:r>
        <w:instrText xml:space="preserve"> PAGEREF _Toc67347932 \h </w:instrText>
      </w:r>
      <w:r>
        <w:fldChar w:fldCharType="separate"/>
      </w:r>
      <w:r>
        <w:t>7</w:t>
      </w:r>
      <w:r>
        <w:fldChar w:fldCharType="end"/>
      </w:r>
    </w:p>
    <w:p w14:paraId="0E3811C0" w14:textId="47FC484D" w:rsidR="00FB45A9" w:rsidRDefault="00FB45A9">
      <w:pPr>
        <w:pStyle w:val="TOC1"/>
        <w:rPr>
          <w:rFonts w:eastAsiaTheme="minorEastAsia"/>
          <w:b w:val="0"/>
          <w:color w:val="auto"/>
          <w:lang w:val="en-US"/>
        </w:rPr>
      </w:pPr>
      <w:r>
        <w:t>7</w:t>
      </w:r>
      <w:r>
        <w:rPr>
          <w:rFonts w:eastAsiaTheme="minorEastAsia"/>
          <w:b w:val="0"/>
          <w:color w:val="auto"/>
          <w:lang w:val="en-US"/>
        </w:rPr>
        <w:tab/>
      </w:r>
      <w:r>
        <w:t>Definitions</w:t>
      </w:r>
      <w:r>
        <w:tab/>
      </w:r>
      <w:r>
        <w:fldChar w:fldCharType="begin"/>
      </w:r>
      <w:r>
        <w:instrText xml:space="preserve"> PAGEREF _Toc67347933 \h </w:instrText>
      </w:r>
      <w:r>
        <w:fldChar w:fldCharType="separate"/>
      </w:r>
      <w:r>
        <w:t>8</w:t>
      </w:r>
      <w:r>
        <w:fldChar w:fldCharType="end"/>
      </w:r>
    </w:p>
    <w:p w14:paraId="180DAC39" w14:textId="7C7F5671" w:rsidR="00FB45A9" w:rsidRDefault="00FB45A9">
      <w:pPr>
        <w:pStyle w:val="TOC1"/>
        <w:rPr>
          <w:rFonts w:eastAsiaTheme="minorEastAsia"/>
          <w:b w:val="0"/>
          <w:color w:val="auto"/>
          <w:lang w:val="en-US"/>
        </w:rPr>
      </w:pPr>
      <w:r>
        <w:t>8</w:t>
      </w:r>
      <w:r>
        <w:rPr>
          <w:rFonts w:eastAsiaTheme="minorEastAsia"/>
          <w:b w:val="0"/>
          <w:color w:val="auto"/>
          <w:lang w:val="en-US"/>
        </w:rPr>
        <w:tab/>
      </w:r>
      <w:r>
        <w:t>Acronyms</w:t>
      </w:r>
      <w:r>
        <w:tab/>
      </w:r>
      <w:r>
        <w:fldChar w:fldCharType="begin"/>
      </w:r>
      <w:r>
        <w:instrText xml:space="preserve"> PAGEREF _Toc67347934 \h </w:instrText>
      </w:r>
      <w:r>
        <w:fldChar w:fldCharType="separate"/>
      </w:r>
      <w:r>
        <w:t>9</w:t>
      </w:r>
      <w:r>
        <w:fldChar w:fldCharType="end"/>
      </w:r>
    </w:p>
    <w:p w14:paraId="5F94C665" w14:textId="197CA50D" w:rsidR="00FB45A9" w:rsidRDefault="00FB45A9">
      <w:pPr>
        <w:pStyle w:val="TOC1"/>
        <w:rPr>
          <w:rFonts w:eastAsiaTheme="minorEastAsia"/>
          <w:b w:val="0"/>
          <w:color w:val="auto"/>
          <w:lang w:val="en-US"/>
        </w:rPr>
      </w:pPr>
      <w:r>
        <w:t>9</w:t>
      </w:r>
      <w:r>
        <w:rPr>
          <w:rFonts w:eastAsiaTheme="minorEastAsia"/>
          <w:b w:val="0"/>
          <w:color w:val="auto"/>
          <w:lang w:val="en-US"/>
        </w:rPr>
        <w:tab/>
      </w:r>
      <w:r>
        <w:t>References</w:t>
      </w:r>
      <w:r>
        <w:tab/>
      </w:r>
      <w:r>
        <w:fldChar w:fldCharType="begin"/>
      </w:r>
      <w:r>
        <w:instrText xml:space="preserve"> PAGEREF _Toc67347935 \h </w:instrText>
      </w:r>
      <w:r>
        <w:fldChar w:fldCharType="separate"/>
      </w:r>
      <w:r>
        <w:t>9</w:t>
      </w:r>
      <w:r>
        <w:fldChar w:fldCharType="end"/>
      </w:r>
    </w:p>
    <w:p w14:paraId="226FEBB5" w14:textId="698BF9AA"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753B50F5" w14:textId="45027C69" w:rsidR="00AB64C4"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AB64C4">
        <w:rPr>
          <w:noProof/>
        </w:rPr>
        <w:t>Table 1</w:t>
      </w:r>
      <w:r w:rsidR="00AB64C4">
        <w:rPr>
          <w:rFonts w:eastAsiaTheme="minorEastAsia"/>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2"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67347925"/>
      <w:r>
        <w:lastRenderedPageBreak/>
        <w:t>Introduction</w:t>
      </w:r>
      <w:bookmarkEnd w:id="3"/>
    </w:p>
    <w:p w14:paraId="4D73C10A" w14:textId="77777777" w:rsidR="004944C8" w:rsidRDefault="004944C8" w:rsidP="004944C8">
      <w:pPr>
        <w:pStyle w:val="Heading1separatationline"/>
      </w:pPr>
    </w:p>
    <w:p w14:paraId="1560E09A" w14:textId="185FC21A" w:rsidR="004217AD" w:rsidRPr="00A24901" w:rsidRDefault="004217AD" w:rsidP="004217AD">
      <w:pPr>
        <w:pStyle w:val="BodyText"/>
        <w:rPr>
          <w:rFonts w:ascii="Calibri" w:hAnsi="Calibri"/>
        </w:rPr>
      </w:pPr>
      <w:r>
        <w:rPr>
          <w:rFonts w:ascii="Calibri" w:hAnsi="Calibri"/>
        </w:rPr>
        <w:t>The developments of mobile telecommunication technology</w:t>
      </w:r>
      <w:r w:rsidR="00D97A16">
        <w:rPr>
          <w:rFonts w:ascii="Calibri" w:hAnsi="Calibri"/>
        </w:rPr>
        <w:t xml:space="preserve"> is integrated into day-to-day life, </w:t>
      </w:r>
      <w:r w:rsidR="00F04569">
        <w:rPr>
          <w:rFonts w:ascii="Calibri" w:hAnsi="Calibri"/>
        </w:rPr>
        <w:t xml:space="preserve">with the development of 3G, 4G and now 5G.  </w:t>
      </w:r>
      <w:r w:rsidR="007429EA">
        <w:rPr>
          <w:rFonts w:ascii="Calibri" w:hAnsi="Calibri"/>
        </w:rPr>
        <w:t xml:space="preserve">The International Telecommunication Union (ITU) has termed these developments ‘International Mobile </w:t>
      </w:r>
      <w:r w:rsidR="00E17831">
        <w:rPr>
          <w:rFonts w:ascii="Calibri" w:hAnsi="Calibri"/>
        </w:rPr>
        <w:t>Telecommunication</w:t>
      </w:r>
      <w:r w:rsidR="007429EA">
        <w:rPr>
          <w:rFonts w:ascii="Calibri" w:hAnsi="Calibri"/>
        </w:rPr>
        <w:t xml:space="preserve">’ or IMT.  </w:t>
      </w:r>
      <w:r w:rsidRPr="00A24901">
        <w:rPr>
          <w:rFonts w:ascii="Calibri" w:hAnsi="Calibri"/>
        </w:rPr>
        <w:t xml:space="preserve">The fifth generation of mobile telecommunication technology (‘5G’) is called ‘IMT for 2020 and beyond‘ by </w:t>
      </w:r>
      <w:r w:rsidR="005A3A25">
        <w:rPr>
          <w:rFonts w:ascii="Calibri" w:hAnsi="Calibri"/>
        </w:rPr>
        <w:t>ITU and can be</w:t>
      </w:r>
      <w:r w:rsidRPr="00A24901">
        <w:rPr>
          <w:rFonts w:ascii="Calibri" w:hAnsi="Calibri"/>
        </w:rPr>
        <w:t xml:space="preserve"> abbreviated to read ‘IMT-2020.’</w:t>
      </w:r>
    </w:p>
    <w:p w14:paraId="00E81A5A" w14:textId="064A7F2D" w:rsidR="00182053" w:rsidRDefault="005A3A25" w:rsidP="004217AD">
      <w:pPr>
        <w:pStyle w:val="BodyText"/>
        <w:rPr>
          <w:rFonts w:ascii="Calibri" w:hAnsi="Calibri"/>
        </w:rPr>
      </w:pPr>
      <w:r>
        <w:rPr>
          <w:rFonts w:ascii="Calibri" w:hAnsi="Calibri"/>
        </w:rPr>
        <w:t>While 5G is the common designat</w:t>
      </w:r>
      <w:r w:rsidR="008F68CB">
        <w:rPr>
          <w:rFonts w:ascii="Calibri" w:hAnsi="Calibri"/>
        </w:rPr>
        <w:t>ion</w:t>
      </w:r>
      <w:r>
        <w:rPr>
          <w:rFonts w:ascii="Calibri" w:hAnsi="Calibri"/>
        </w:rPr>
        <w:t>, thi</w:t>
      </w:r>
      <w:r w:rsidR="00691919">
        <w:rPr>
          <w:rFonts w:ascii="Calibri" w:hAnsi="Calibri"/>
        </w:rPr>
        <w:t xml:space="preserve">s is also used as a marketing term.  It is important to clearly identify the </w:t>
      </w:r>
      <w:r w:rsidR="00E4107A">
        <w:rPr>
          <w:rFonts w:ascii="Calibri" w:hAnsi="Calibri"/>
        </w:rPr>
        <w:t xml:space="preserve">generic use of IMT-2020 and the common use of 5G.  </w:t>
      </w:r>
      <w:r w:rsidR="00770F38">
        <w:rPr>
          <w:rFonts w:ascii="Calibri" w:hAnsi="Calibri"/>
        </w:rPr>
        <w:t xml:space="preserve">Industry developed 5G technology candidates need to meet the requirements of IMT-2020.  </w:t>
      </w:r>
    </w:p>
    <w:p w14:paraId="79A17987" w14:textId="185A09B8" w:rsidR="00DD3A54" w:rsidRPr="00A24901" w:rsidRDefault="00DD3A54" w:rsidP="00DD3A54">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 xml:space="preserve">IMT-2020 comprises essential features of IMT-Advanced, better known as ‘LTE-Advanced’ or ‘4G’ (and its derivatives). The summary term for </w:t>
      </w:r>
      <w:r w:rsidR="009D2B17">
        <w:rPr>
          <w:rFonts w:ascii="Calibri" w:hAnsi="Calibri"/>
        </w:rPr>
        <w:t xml:space="preserve">all </w:t>
      </w:r>
      <w:r>
        <w:rPr>
          <w:rFonts w:ascii="Calibri" w:hAnsi="Calibri"/>
        </w:rPr>
        <w:t>stages of the development up to IMT-2020 at ITU is</w:t>
      </w:r>
      <w:r w:rsidR="009D2B17">
        <w:rPr>
          <w:rFonts w:ascii="Calibri" w:hAnsi="Calibri"/>
        </w:rPr>
        <w:t xml:space="preserve"> known as</w:t>
      </w:r>
      <w:r>
        <w:rPr>
          <w:rFonts w:ascii="Calibri" w:hAnsi="Calibri"/>
        </w:rPr>
        <w:t xml:space="preserve"> ‘IMT-Systems.’</w:t>
      </w:r>
    </w:p>
    <w:p w14:paraId="2AE54683" w14:textId="7E0B7186" w:rsidR="001A1493" w:rsidRDefault="00DD3A54" w:rsidP="00DD3A54">
      <w:pPr>
        <w:pStyle w:val="BodyText"/>
      </w:pPr>
      <w:r w:rsidRPr="00B71756">
        <w:t>ITU has published documents dealing with different facets of the various IMT-Systems, including IMT-</w:t>
      </w:r>
      <w:r w:rsidRPr="00441AC9">
        <w:t>2020 and their interdependencies. From a strategic, operational and overview perspective</w:t>
      </w:r>
      <w:r>
        <w:t>,</w:t>
      </w:r>
      <w:r w:rsidRPr="00441AC9">
        <w:t xml:space="preserve"> </w:t>
      </w:r>
      <w:r w:rsidR="001A1493">
        <w:t>the key high</w:t>
      </w:r>
      <w:r w:rsidR="00C878A7">
        <w:t>-</w:t>
      </w:r>
      <w:r w:rsidR="001A1493">
        <w:t xml:space="preserve">level documents include: </w:t>
      </w:r>
    </w:p>
    <w:p w14:paraId="3F5F0CAA" w14:textId="591192A9" w:rsidR="00F36FFC" w:rsidRDefault="00DD3A54" w:rsidP="00F36FFC">
      <w:pPr>
        <w:pStyle w:val="Bullet1"/>
      </w:pPr>
      <w:r w:rsidRPr="00441AC9">
        <w:t xml:space="preserve"> </w:t>
      </w:r>
      <w:r w:rsidRPr="00441AC9">
        <w:rPr>
          <w:b/>
        </w:rPr>
        <w:t>ITU-</w:t>
      </w:r>
      <w:r w:rsidR="00FB45A9">
        <w:rPr>
          <w:b/>
        </w:rPr>
        <w:t xml:space="preserve">R </w:t>
      </w:r>
      <w:r w:rsidRPr="00441AC9">
        <w:rPr>
          <w:b/>
        </w:rPr>
        <w:t>M</w:t>
      </w:r>
      <w:r w:rsidR="00FB45A9">
        <w:rPr>
          <w:b/>
        </w:rPr>
        <w:t>.</w:t>
      </w:r>
      <w:r w:rsidRPr="00441AC9">
        <w:rPr>
          <w:b/>
        </w:rPr>
        <w:t>2083</w:t>
      </w:r>
      <w:r w:rsidRPr="00441AC9">
        <w:t xml:space="preserve"> together with </w:t>
      </w:r>
      <w:r w:rsidRPr="00441AC9">
        <w:rPr>
          <w:b/>
        </w:rPr>
        <w:t>ITU-</w:t>
      </w:r>
      <w:r w:rsidR="00FB45A9">
        <w:rPr>
          <w:b/>
        </w:rPr>
        <w:t xml:space="preserve">R </w:t>
      </w:r>
      <w:r w:rsidRPr="00441AC9">
        <w:rPr>
          <w:b/>
        </w:rPr>
        <w:t>M</w:t>
      </w:r>
      <w:r w:rsidR="00FB45A9">
        <w:rPr>
          <w:b/>
        </w:rPr>
        <w:t>.</w:t>
      </w:r>
      <w:r w:rsidRPr="00441AC9">
        <w:rPr>
          <w:b/>
        </w:rPr>
        <w:t>2441</w:t>
      </w:r>
      <w:r w:rsidRPr="00441AC9">
        <w:t xml:space="preserve"> </w:t>
      </w:r>
      <w:r w:rsidR="00F36FFC">
        <w:t xml:space="preserve">- </w:t>
      </w:r>
      <w:r w:rsidRPr="00441AC9">
        <w:t xml:space="preserve">provide the IMT-2020 use cases and the requirement base in an overview manner, i.e. the ‘promises’ of IMT-2020; </w:t>
      </w:r>
    </w:p>
    <w:p w14:paraId="27D1A903" w14:textId="554EB8A7"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2373 </w:t>
      </w:r>
      <w:r w:rsidRPr="00441AC9">
        <w:t>focusses on the audio-visual capabilities</w:t>
      </w:r>
      <w:r w:rsidR="00FC1274">
        <w:t>;</w:t>
      </w:r>
      <w:r w:rsidRPr="00441AC9">
        <w:t xml:space="preserve"> </w:t>
      </w:r>
    </w:p>
    <w:p w14:paraId="16BC5928" w14:textId="7BD1390B"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2440 </w:t>
      </w:r>
      <w:r w:rsidRPr="00441AC9">
        <w:t xml:space="preserve">focusses on the use of IMT-2020 for Machine Type Communications (MTC); </w:t>
      </w:r>
    </w:p>
    <w:p w14:paraId="73363E78" w14:textId="477BA851" w:rsidR="00F36FFC" w:rsidRDefault="00DD3A54" w:rsidP="00F36FFC">
      <w:pPr>
        <w:pStyle w:val="Bullet1"/>
      </w:pPr>
      <w:r w:rsidRPr="00441AC9">
        <w:rPr>
          <w:b/>
        </w:rPr>
        <w:t>ITU-</w:t>
      </w:r>
      <w:r w:rsidR="008403D9">
        <w:rPr>
          <w:b/>
        </w:rPr>
        <w:t xml:space="preserve">R </w:t>
      </w:r>
      <w:r w:rsidRPr="00441AC9">
        <w:rPr>
          <w:b/>
        </w:rPr>
        <w:t>M</w:t>
      </w:r>
      <w:r w:rsidR="008403D9">
        <w:rPr>
          <w:b/>
        </w:rPr>
        <w:t>.</w:t>
      </w:r>
      <w:r w:rsidRPr="00441AC9">
        <w:rPr>
          <w:b/>
        </w:rPr>
        <w:t xml:space="preserve">2370 </w:t>
      </w:r>
      <w:r w:rsidRPr="00441AC9">
        <w:t xml:space="preserve">provides IMT-systems traffic estimates 2020-2030; </w:t>
      </w:r>
    </w:p>
    <w:p w14:paraId="0536B07B" w14:textId="2A0F559D"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2320 </w:t>
      </w:r>
      <w:r w:rsidRPr="00441AC9">
        <w:t xml:space="preserve">introduces the radio communication technologies supporting IMT-2020 in an overview manner; </w:t>
      </w:r>
    </w:p>
    <w:p w14:paraId="44B1CAF0" w14:textId="4DB882C6" w:rsidR="00251243" w:rsidRPr="00FB45A9" w:rsidRDefault="00FB45A9" w:rsidP="004217AD">
      <w:pPr>
        <w:pStyle w:val="Bullet1"/>
        <w:rPr>
          <w:bCs/>
        </w:rPr>
      </w:pPr>
      <w:r>
        <w:rPr>
          <w:b/>
        </w:rPr>
        <w:t xml:space="preserve">ITU-R M.2375 </w:t>
      </w:r>
      <w:r w:rsidRPr="00FB45A9">
        <w:rPr>
          <w:bCs/>
        </w:rPr>
        <w:t>presents the technical architecture and topology</w:t>
      </w:r>
    </w:p>
    <w:p w14:paraId="2F3C78F7" w14:textId="4031B44D" w:rsidR="00852169" w:rsidRDefault="001C2DE9" w:rsidP="00156AE0">
      <w:pPr>
        <w:pStyle w:val="Heading2"/>
      </w:pPr>
      <w:bookmarkStart w:id="4" w:name="_Toc67347926"/>
      <w:r>
        <w:t>IMT and 3GPP</w:t>
      </w:r>
      <w:bookmarkEnd w:id="4"/>
    </w:p>
    <w:p w14:paraId="762E45C4" w14:textId="1D6B570B" w:rsidR="00EB07A5" w:rsidRDefault="00C015F9" w:rsidP="00EB07A5">
      <w:pPr>
        <w:pStyle w:val="BodyText"/>
      </w:pPr>
      <w:r w:rsidRPr="00C015F9">
        <w:t xml:space="preserve">International Mobile Telecommunications </w:t>
      </w:r>
      <w:r>
        <w:t xml:space="preserve">includes the </w:t>
      </w:r>
      <w:r w:rsidR="00EB07A5">
        <w:t>3rd Generation Partnership Project (3GPP)</w:t>
      </w:r>
      <w:r>
        <w:t>. 3GPP</w:t>
      </w:r>
      <w:r w:rsidR="00EB07A5">
        <w:t> unites seven telecommunications standard development organizations (ARIB, ATIS, CCSA, ETSI, TSDSI, TTA, TTC), known as </w:t>
      </w:r>
      <w:hyperlink r:id="rId25"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5"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5"/>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6"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27" w:history="1">
        <w:r w:rsidRPr="00EB07A5">
          <w:t>SA</w:t>
        </w:r>
      </w:hyperlink>
      <w:r>
        <w:t xml:space="preserve">), </w:t>
      </w:r>
    </w:p>
    <w:p w14:paraId="24379E2F" w14:textId="65A1A51C" w:rsidR="00EB07A5" w:rsidRDefault="009C5BAE" w:rsidP="00EB07A5">
      <w:pPr>
        <w:pStyle w:val="BodyText"/>
        <w:numPr>
          <w:ilvl w:val="0"/>
          <w:numId w:val="42"/>
        </w:numPr>
      </w:pPr>
      <w:r w:rsidRPr="00EB07A5">
        <w:rPr>
          <w:noProof/>
          <w:lang w:val="en-US"/>
        </w:rPr>
        <w:lastRenderedPageBreak/>
        <w:drawing>
          <wp:anchor distT="0" distB="0" distL="114300" distR="114300" simplePos="0" relativeHeight="251658240" behindDoc="0" locked="0" layoutInCell="1" allowOverlap="1" wp14:anchorId="580FEE1A" wp14:editId="1BAF5E36">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8"/>
                    </pic:cNvPr>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0" w:history="1">
        <w:r w:rsidR="00EB07A5" w:rsidRPr="00EB07A5">
          <w:t>CT</w:t>
        </w:r>
      </w:hyperlink>
      <w:r w:rsidR="00EB07A5">
        <w:t>) </w:t>
      </w:r>
    </w:p>
    <w:p w14:paraId="05480183" w14:textId="48D6C927" w:rsidR="00124A79" w:rsidRDefault="008A5FC6" w:rsidP="008A5FC6">
      <w:pPr>
        <w:pStyle w:val="Figurecaption"/>
        <w:jc w:val="center"/>
      </w:pPr>
      <w:ins w:id="6" w:author="Author">
        <w:r>
          <w:t>3GPP Structure</w:t>
        </w:r>
      </w:ins>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018ADFE7"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w:t>
      </w:r>
      <w:r w:rsidR="002A6055">
        <w:t xml:space="preserve">Republic of </w:t>
      </w:r>
      <w:r w:rsidR="00B66FA8">
        <w:t>Korea and China</w:t>
      </w:r>
      <w:r>
        <w:t>.  3GPP networks also</w:t>
      </w:r>
      <w:r w:rsidR="00EB07A5">
        <w:t xml:space="preserve"> </w:t>
      </w:r>
      <w:r>
        <w:t>enable</w:t>
      </w:r>
      <w:r w:rsidR="00EB07A5">
        <w:t xml:space="preserve"> the interconnection of 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7" w:name="_Toc67347927"/>
      <w:r>
        <w:t>Background</w:t>
      </w:r>
      <w:bookmarkEnd w:id="7"/>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26FD396C" w:rsidR="00597CD5" w:rsidRDefault="00065419" w:rsidP="00597CD5">
      <w:pPr>
        <w:pStyle w:val="BodyText"/>
      </w:pPr>
      <w:r>
        <w:lastRenderedPageBreak/>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w:t>
      </w:r>
      <w:r w:rsidR="00156AE0">
        <w:t>Republic of</w:t>
      </w:r>
      <w:r>
        <w:t xml:space="preserve">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8" w:name="_Toc67347928"/>
      <w:r w:rsidRPr="00065419">
        <w:t>Aims and Objectives</w:t>
      </w:r>
      <w:bookmarkEnd w:id="8"/>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23A74A66" w:rsidR="007E30DF" w:rsidRPr="00205D9B" w:rsidRDefault="006C251E" w:rsidP="00DE2814">
      <w:pPr>
        <w:pStyle w:val="Heading1"/>
      </w:pPr>
      <w:bookmarkStart w:id="9" w:name="_Toc67347929"/>
      <w:r>
        <w:t xml:space="preserve">Overview of </w:t>
      </w:r>
      <w:r w:rsidR="005F07CA">
        <w:t xml:space="preserve">IMT </w:t>
      </w:r>
      <w:r w:rsidR="00065419">
        <w:t>in the maritime domain</w:t>
      </w:r>
      <w:bookmarkEnd w:id="9"/>
    </w:p>
    <w:p w14:paraId="3989E284" w14:textId="77777777" w:rsidR="007E30DF" w:rsidRPr="009858BC" w:rsidRDefault="007E30DF" w:rsidP="001349DB">
      <w:pPr>
        <w:pStyle w:val="Heading2separationline"/>
      </w:pPr>
    </w:p>
    <w:p w14:paraId="2FBCB889" w14:textId="77777777" w:rsidR="003D1798" w:rsidRDefault="007E3859" w:rsidP="00611F74">
      <w:pPr>
        <w:autoSpaceDE w:val="0"/>
        <w:autoSpaceDN w:val="0"/>
        <w:adjustRightInd w:val="0"/>
        <w:spacing w:line="240" w:lineRule="auto"/>
        <w:rPr>
          <w:sz w:val="22"/>
        </w:rPr>
      </w:pPr>
      <w:r w:rsidRPr="005A1F68">
        <w:rPr>
          <w:sz w:val="22"/>
        </w:rPr>
        <w:t xml:space="preserve">IMO's </w:t>
      </w:r>
      <w:hyperlink r:id="rId31" w:history="1">
        <w:r w:rsidRPr="005A1F68">
          <w:rPr>
            <w:sz w:val="22"/>
          </w:rPr>
          <w:t>Strategic Plan</w:t>
        </w:r>
      </w:hyperlink>
      <w:r w:rsidRPr="005A1F68">
        <w:rPr>
          <w:sz w:val="22"/>
        </w:rPr>
        <w:t xml:space="preserve"> (2018-2023) </w:t>
      </w:r>
      <w:r w:rsidR="00E923E1">
        <w:rPr>
          <w:sz w:val="22"/>
        </w:rPr>
        <w:t>Resolution A.1</w:t>
      </w:r>
      <w:r w:rsidR="004B790A">
        <w:rPr>
          <w:sz w:val="22"/>
        </w:rPr>
        <w:t>1</w:t>
      </w:r>
      <w:r w:rsidR="00E923E1">
        <w:rPr>
          <w:sz w:val="22"/>
        </w:rPr>
        <w:t xml:space="preserve">10(30) includes </w:t>
      </w:r>
      <w:r w:rsidRPr="005A1F68">
        <w:rPr>
          <w:sz w:val="22"/>
        </w:rPr>
        <w:t>Strategic Direction</w:t>
      </w:r>
      <w:r w:rsidR="005301FB">
        <w:rPr>
          <w:sz w:val="22"/>
        </w:rPr>
        <w:t xml:space="preserve"> 2 (SD2)</w:t>
      </w:r>
      <w:r w:rsidR="00C70732">
        <w:rPr>
          <w:sz w:val="22"/>
        </w:rPr>
        <w:t xml:space="preserve"> </w:t>
      </w:r>
      <w:r w:rsidRPr="005A1F68">
        <w:rPr>
          <w:sz w:val="22"/>
        </w:rPr>
        <w:t>"Integrate new and advancing technologies in the regulatory framework"</w:t>
      </w:r>
      <w:r w:rsidR="0099275B">
        <w:rPr>
          <w:sz w:val="22"/>
        </w:rPr>
        <w:t xml:space="preserve">. </w:t>
      </w:r>
    </w:p>
    <w:p w14:paraId="5248F504" w14:textId="77777777" w:rsidR="003D1798" w:rsidRDefault="003D1798" w:rsidP="00611F74">
      <w:pPr>
        <w:autoSpaceDE w:val="0"/>
        <w:autoSpaceDN w:val="0"/>
        <w:adjustRightInd w:val="0"/>
        <w:spacing w:line="240" w:lineRule="auto"/>
        <w:rPr>
          <w:sz w:val="22"/>
        </w:rPr>
      </w:pPr>
    </w:p>
    <w:p w14:paraId="66DAC859" w14:textId="2E084C37" w:rsidR="005A1F68" w:rsidRDefault="00E47FD8" w:rsidP="00611F74">
      <w:pPr>
        <w:autoSpaceDE w:val="0"/>
        <w:autoSpaceDN w:val="0"/>
        <w:adjustRightInd w:val="0"/>
        <w:spacing w:line="240" w:lineRule="auto"/>
        <w:rPr>
          <w:sz w:val="22"/>
        </w:rPr>
      </w:pPr>
      <w:r>
        <w:rPr>
          <w:sz w:val="22"/>
        </w:rPr>
        <w:t xml:space="preserve">The IMO </w:t>
      </w:r>
      <w:r w:rsidR="006743C0">
        <w:rPr>
          <w:sz w:val="22"/>
        </w:rPr>
        <w:t xml:space="preserve">E-Navigation </w:t>
      </w:r>
      <w:r>
        <w:rPr>
          <w:sz w:val="22"/>
        </w:rPr>
        <w:t>Strategy Implementation Plan</w:t>
      </w:r>
      <w:r w:rsidR="00E43E53">
        <w:rPr>
          <w:sz w:val="22"/>
        </w:rPr>
        <w:t xml:space="preserve"> (MSC.1/Circ.1595)</w:t>
      </w:r>
      <w:r w:rsidR="006743C0">
        <w:rPr>
          <w:sz w:val="22"/>
        </w:rPr>
        <w:t xml:space="preserve"> includes </w:t>
      </w:r>
      <w:r w:rsidR="007966B0">
        <w:rPr>
          <w:sz w:val="22"/>
        </w:rPr>
        <w:t>solution</w:t>
      </w:r>
      <w:r w:rsidR="00517103">
        <w:rPr>
          <w:sz w:val="22"/>
        </w:rPr>
        <w:t xml:space="preserve"> 4 </w:t>
      </w:r>
      <w:r w:rsidR="00BC4B8D">
        <w:rPr>
          <w:sz w:val="22"/>
        </w:rPr>
        <w:t>–</w:t>
      </w:r>
      <w:r w:rsidR="00517103">
        <w:rPr>
          <w:sz w:val="22"/>
        </w:rPr>
        <w:t xml:space="preserve"> </w:t>
      </w:r>
      <w:r w:rsidR="00BC4B8D">
        <w:rPr>
          <w:sz w:val="22"/>
        </w:rPr>
        <w:t xml:space="preserve">integration and presentation of available information in graphical displays received via communications equipment; and </w:t>
      </w:r>
      <w:r w:rsidR="007966B0">
        <w:rPr>
          <w:sz w:val="22"/>
        </w:rPr>
        <w:t xml:space="preserve">solution 5 – improved communication of VTS </w:t>
      </w:r>
      <w:r w:rsidR="000111E5">
        <w:rPr>
          <w:sz w:val="22"/>
        </w:rPr>
        <w:t>Service</w:t>
      </w:r>
      <w:r w:rsidR="007966B0">
        <w:rPr>
          <w:sz w:val="22"/>
        </w:rPr>
        <w:t xml:space="preserve"> Portfolio (not limited to VTS stations).  </w:t>
      </w:r>
      <w:r w:rsidR="003D0480">
        <w:rPr>
          <w:sz w:val="22"/>
        </w:rPr>
        <w:t xml:space="preserve">Task 15 (T15) </w:t>
      </w:r>
      <w:r w:rsidR="00040C91">
        <w:rPr>
          <w:sz w:val="22"/>
        </w:rPr>
        <w:t xml:space="preserve">is to ‘identify and draft guidelines on seamless integration of all currently available communications </w:t>
      </w:r>
      <w:r w:rsidR="000111E5">
        <w:rPr>
          <w:sz w:val="22"/>
        </w:rPr>
        <w:t xml:space="preserve">infrastructure </w:t>
      </w:r>
      <w:r w:rsidR="00040C91">
        <w:rPr>
          <w:sz w:val="22"/>
        </w:rPr>
        <w:t xml:space="preserve">and how they can used (e.g. range, </w:t>
      </w:r>
      <w:r w:rsidR="000111E5">
        <w:rPr>
          <w:sz w:val="22"/>
        </w:rPr>
        <w:t>bandwidth</w:t>
      </w:r>
      <w:r w:rsidR="00040C91">
        <w:rPr>
          <w:sz w:val="22"/>
        </w:rPr>
        <w:t>, etc) …</w:t>
      </w:r>
      <w:r w:rsidR="009C2D6C">
        <w:rPr>
          <w:sz w:val="22"/>
        </w:rPr>
        <w:t>’  and ‘The task should look at shor</w:t>
      </w:r>
      <w:r w:rsidR="003144B9">
        <w:rPr>
          <w:sz w:val="22"/>
        </w:rPr>
        <w:t xml:space="preserve">t range systems such as VHF, 4G and 5G …’ </w:t>
      </w:r>
      <w:r w:rsidR="003D1798">
        <w:rPr>
          <w:sz w:val="22"/>
        </w:rPr>
        <w:t xml:space="preserve"> </w:t>
      </w:r>
      <w:r w:rsidR="008F0224">
        <w:rPr>
          <w:sz w:val="22"/>
        </w:rPr>
        <w:t xml:space="preserve">Solution 4, </w:t>
      </w:r>
      <w:r w:rsidR="00517103">
        <w:rPr>
          <w:sz w:val="22"/>
        </w:rPr>
        <w:t>sub-solution 4.1.</w:t>
      </w:r>
      <w:r w:rsidR="007014AB">
        <w:rPr>
          <w:sz w:val="22"/>
        </w:rPr>
        <w:t xml:space="preserve">4  </w:t>
      </w:r>
      <w:r w:rsidR="005A1F68" w:rsidRPr="00611F74">
        <w:rPr>
          <w:sz w:val="22"/>
        </w:rPr>
        <w:t>“available communications systems</w:t>
      </w:r>
      <w:r w:rsidR="005013BF">
        <w:rPr>
          <w:sz w:val="22"/>
        </w:rPr>
        <w:t xml:space="preserve"> need to be identified, including </w:t>
      </w:r>
      <w:r w:rsidR="005A1F68" w:rsidRPr="00611F74">
        <w:rPr>
          <w:sz w:val="22"/>
        </w:rPr>
        <w:t>how they can be used, based on range,</w:t>
      </w:r>
      <w:r w:rsidR="005A1F68">
        <w:rPr>
          <w:sz w:val="22"/>
        </w:rPr>
        <w:t xml:space="preserve"> </w:t>
      </w:r>
      <w:r w:rsidR="005A1F68" w:rsidRPr="00611F74">
        <w:rPr>
          <w:sz w:val="22"/>
        </w:rPr>
        <w:t>bandwidth, etc. and what systems are currently being developed and will be in use when e-navigation is fully implemented</w:t>
      </w:r>
      <w:r w:rsidR="00583659">
        <w:rPr>
          <w:sz w:val="22"/>
        </w:rPr>
        <w:t>. The task</w:t>
      </w:r>
      <w:r w:rsidR="005A1F68" w:rsidRPr="00611F74">
        <w:rPr>
          <w:sz w:val="22"/>
        </w:rPr>
        <w:t xml:space="preserve">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w:t>
      </w:r>
    </w:p>
    <w:p w14:paraId="059021F4" w14:textId="77777777" w:rsidR="005A1F68" w:rsidRDefault="005A1F68" w:rsidP="00611F74">
      <w:pPr>
        <w:autoSpaceDE w:val="0"/>
        <w:autoSpaceDN w:val="0"/>
        <w:adjustRightInd w:val="0"/>
        <w:spacing w:line="240" w:lineRule="auto"/>
      </w:pPr>
    </w:p>
    <w:p w14:paraId="52C5B3CB" w14:textId="4783FE48" w:rsidR="009C6CA5" w:rsidRPr="005A1F68" w:rsidRDefault="007E3859" w:rsidP="00611F74">
      <w:pPr>
        <w:autoSpaceDE w:val="0"/>
        <w:autoSpaceDN w:val="0"/>
        <w:adjustRightInd w:val="0"/>
        <w:spacing w:line="240" w:lineRule="auto"/>
      </w:pPr>
      <w:r w:rsidRPr="005A1F68">
        <w:rPr>
          <w:sz w:val="22"/>
        </w:rPr>
        <w:t>This involves</w:t>
      </w:r>
      <w:r w:rsidR="009C6CA5" w:rsidRPr="005A1F68">
        <w:rPr>
          <w:sz w:val="22"/>
        </w:rPr>
        <w:t>:</w:t>
      </w:r>
      <w:r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66F17B17" w:rsidR="00065419" w:rsidRDefault="009858BC" w:rsidP="00065419">
      <w:pPr>
        <w:pStyle w:val="Bullet1"/>
        <w:numPr>
          <w:ilvl w:val="0"/>
          <w:numId w:val="0"/>
        </w:numPr>
        <w:ind w:left="425" w:hanging="425"/>
      </w:pPr>
      <w:r>
        <w:t xml:space="preserve">The primary benefits of </w:t>
      </w:r>
      <w:r w:rsidR="005F07CA">
        <w:t>IMT</w:t>
      </w:r>
      <w:r>
        <w:t xml:space="preserve">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174CA3C2"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w:t>
      </w:r>
      <w:r w:rsidR="00F20AFD">
        <w:t>Republic of</w:t>
      </w:r>
      <w:r w:rsidR="004D0BF0">
        <w:t xml:space="preserve"> Korea)</w:t>
      </w:r>
      <w:r>
        <w:t>)</w:t>
      </w:r>
    </w:p>
    <w:p w14:paraId="628E0A50" w14:textId="2B415258" w:rsidR="00F45239" w:rsidRDefault="00B0494B" w:rsidP="00F45239">
      <w:pPr>
        <w:pStyle w:val="Bullet1"/>
        <w:numPr>
          <w:ilvl w:val="0"/>
          <w:numId w:val="43"/>
        </w:numPr>
      </w:pPr>
      <w:r>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10" w:name="_Toc67347930"/>
      <w:r>
        <w:t xml:space="preserve">IMT </w:t>
      </w:r>
      <w:r w:rsidR="006C251E">
        <w:t>and Maritime Services</w:t>
      </w:r>
      <w:bookmarkEnd w:id="10"/>
    </w:p>
    <w:p w14:paraId="7F688598" w14:textId="583E696F" w:rsidR="006C251E" w:rsidRDefault="006C251E" w:rsidP="006C251E">
      <w:pPr>
        <w:pStyle w:val="Heading2separationline"/>
      </w:pPr>
    </w:p>
    <w:p w14:paraId="7D30DCF0" w14:textId="7DB6CF31" w:rsidR="00E61DB8" w:rsidRDefault="00A663DE" w:rsidP="006C251E">
      <w:pPr>
        <w:pStyle w:val="BodyText"/>
      </w:pPr>
      <w:r>
        <w:t xml:space="preserve">IMT, </w:t>
      </w:r>
      <w:r w:rsidR="00F93E14">
        <w:t>provide</w:t>
      </w:r>
      <w:r w:rsidR="00E61DB8">
        <w:t xml:space="preserve"> high bandwidth, low latency, radio based, Wide Area Network (WAN) that offers the ability to connect ship and shore and distributed shore side systems.</w:t>
      </w:r>
      <w:r w:rsidR="00182053">
        <w:t xml:space="preserve"> 3GPP </w:t>
      </w:r>
    </w:p>
    <w:p w14:paraId="4A62A928" w14:textId="237BE2DB" w:rsidR="00E61DB8" w:rsidRDefault="00E61DB8" w:rsidP="006C251E">
      <w:pPr>
        <w:pStyle w:val="BodyText"/>
      </w:pPr>
      <w:r>
        <w:lastRenderedPageBreak/>
        <w:t xml:space="preserve"> </w:t>
      </w:r>
      <w:r w:rsidR="00F93E14">
        <w:t xml:space="preserve">It is important </w:t>
      </w:r>
      <w:r>
        <w:t xml:space="preserve">to be aware </w:t>
      </w:r>
      <w:r w:rsidR="00017391">
        <w:t>o</w:t>
      </w:r>
      <w:r>
        <w:t>f the following when evaluating</w:t>
      </w:r>
      <w:r w:rsidR="00C57CD1">
        <w:t xml:space="preserve"> the use cases provided in</w:t>
      </w:r>
      <w:r>
        <w:t xml:space="preserve"> </w:t>
      </w:r>
      <w:r w:rsidR="006E1079">
        <w:t xml:space="preserve">3GPP </w:t>
      </w:r>
      <w:r>
        <w:t>use cases</w:t>
      </w:r>
      <w:r w:rsidR="00531DD5">
        <w:t>, as provided in 3GPP TR 22.819 (V16.2.0)</w:t>
      </w:r>
      <w:r>
        <w:t>:</w:t>
      </w:r>
    </w:p>
    <w:p w14:paraId="1DC12605" w14:textId="12797104" w:rsidR="00E61DB8" w:rsidRDefault="00E61DB8" w:rsidP="00017391">
      <w:pPr>
        <w:pStyle w:val="BodyText"/>
        <w:numPr>
          <w:ilvl w:val="0"/>
          <w:numId w:val="48"/>
        </w:numPr>
      </w:pPr>
      <w:r>
        <w:t xml:space="preserve">Most </w:t>
      </w:r>
      <w:r w:rsidR="00825873">
        <w:t xml:space="preserve">IMT </w:t>
      </w:r>
      <w:r>
        <w:t xml:space="preserve">networks are commercially </w:t>
      </w:r>
      <w:r w:rsidR="00017391">
        <w:t>operated,</w:t>
      </w:r>
      <w:r>
        <w:t xml:space="preserve"> </w:t>
      </w:r>
      <w:r w:rsidR="00017391">
        <w:t>and the use of a commercial network normally requires that the user pays</w:t>
      </w:r>
    </w:p>
    <w:p w14:paraId="5DF08B99" w14:textId="62FF5B04" w:rsidR="00E61DB8" w:rsidRDefault="00825873" w:rsidP="00017391">
      <w:pPr>
        <w:pStyle w:val="BodyText"/>
        <w:numPr>
          <w:ilvl w:val="0"/>
          <w:numId w:val="48"/>
        </w:numPr>
      </w:pPr>
      <w:r>
        <w:t xml:space="preserve">IMT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w:t>
      </w:r>
      <w:r>
        <w:t xml:space="preserve">IMT </w:t>
      </w:r>
      <w:r w:rsidR="00B66FA8">
        <w:t>specifications</w:t>
      </w:r>
    </w:p>
    <w:p w14:paraId="15DA3BED" w14:textId="79539A0B" w:rsidR="000379F6" w:rsidRDefault="000379F6" w:rsidP="00017391">
      <w:pPr>
        <w:pStyle w:val="BodyText"/>
        <w:numPr>
          <w:ilvl w:val="0"/>
          <w:numId w:val="48"/>
        </w:numPr>
      </w:pPr>
      <w:r>
        <w:t xml:space="preserve">Access to </w:t>
      </w:r>
      <w:r w:rsidR="00825873">
        <w:t xml:space="preserve">IMT </w:t>
      </w:r>
      <w:r>
        <w:t xml:space="preserve">Mission Critical Services may include additional </w:t>
      </w:r>
      <w:r w:rsidR="006E1079">
        <w:t>service and</w:t>
      </w:r>
      <w:r w:rsidR="00497FDA">
        <w:t xml:space="preserve"> terminal unit </w:t>
      </w:r>
      <w:r>
        <w:t>costs</w:t>
      </w:r>
    </w:p>
    <w:p w14:paraId="1B85135F" w14:textId="2F198E67" w:rsidR="00E61DB8" w:rsidRDefault="00E61DB8" w:rsidP="00017391">
      <w:pPr>
        <w:pStyle w:val="BodyText"/>
        <w:numPr>
          <w:ilvl w:val="0"/>
          <w:numId w:val="48"/>
        </w:numPr>
      </w:pPr>
      <w:r>
        <w:t xml:space="preserve">The </w:t>
      </w:r>
      <w:r w:rsidR="00017391">
        <w:t xml:space="preserve">bandwidth of the </w:t>
      </w:r>
      <w:r w:rsidR="00825873">
        <w:t xml:space="preserve">IMT </w:t>
      </w:r>
      <w:r w:rsidR="00017391">
        <w:t>data channel is inversely proportional to the distance to the base station</w:t>
      </w:r>
    </w:p>
    <w:p w14:paraId="258755DC" w14:textId="34F88A8C" w:rsidR="00A01F94" w:rsidRDefault="00017391" w:rsidP="00017391">
      <w:pPr>
        <w:pStyle w:val="BodyText"/>
        <w:numPr>
          <w:ilvl w:val="0"/>
          <w:numId w:val="48"/>
        </w:numPr>
      </w:pPr>
      <w:r>
        <w:t xml:space="preserve">Although the </w:t>
      </w:r>
      <w:r w:rsidR="00072B86">
        <w:t xml:space="preserve">IMT </w:t>
      </w:r>
      <w:r>
        <w:t>network have significant reliability due to the commercial imperative</w:t>
      </w:r>
      <w:r w:rsidR="00D876DD">
        <w:t>.</w:t>
      </w:r>
    </w:p>
    <w:p w14:paraId="1987193F" w14:textId="3DE7DC40" w:rsidR="00E61DB8" w:rsidRDefault="00A01F94" w:rsidP="00017391">
      <w:pPr>
        <w:pStyle w:val="BodyText"/>
        <w:numPr>
          <w:ilvl w:val="0"/>
          <w:numId w:val="48"/>
        </w:numPr>
      </w:pPr>
      <w:r>
        <w:t>T</w:t>
      </w:r>
      <w:r w:rsidR="00017391">
        <w:t>he user</w:t>
      </w:r>
      <w:r>
        <w:t xml:space="preserve"> of IMT</w:t>
      </w:r>
      <w:r w:rsidR="00017391">
        <w:t xml:space="preserve"> is dependent on the commercial operators to maintain access to the network</w:t>
      </w:r>
      <w:r w:rsidR="00072B86">
        <w:t>.</w:t>
      </w:r>
    </w:p>
    <w:p w14:paraId="5FECE630" w14:textId="172B074F" w:rsidR="00690355" w:rsidRDefault="001F1DA4" w:rsidP="00017391">
      <w:pPr>
        <w:pStyle w:val="BodyText"/>
        <w:numPr>
          <w:ilvl w:val="0"/>
          <w:numId w:val="48"/>
        </w:numPr>
      </w:pPr>
      <w:r>
        <w:t xml:space="preserve">While the large number of users may result in </w:t>
      </w:r>
      <w:r w:rsidR="00690355">
        <w:t xml:space="preserve">large coverage and reduces costs due to </w:t>
      </w:r>
      <w:r>
        <w:t xml:space="preserve">economies of scale, </w:t>
      </w:r>
      <w:r w:rsidR="00690355">
        <w:t xml:space="preserve">this may not be realised in the maritime environment, noting the limited number of maritime users of IMT.  </w:t>
      </w:r>
      <w:r>
        <w:t xml:space="preserve"> </w:t>
      </w:r>
    </w:p>
    <w:p w14:paraId="1011D588" w14:textId="4995843D" w:rsidR="00F93E14" w:rsidRDefault="00F93E14" w:rsidP="00563BA5">
      <w:pPr>
        <w:pStyle w:val="Heading2"/>
      </w:pPr>
      <w:bookmarkStart w:id="11" w:name="_Toc67347931"/>
      <w:r>
        <w:t xml:space="preserve">Use </w:t>
      </w:r>
      <w:r w:rsidR="001A0C0E">
        <w:t xml:space="preserve">of IMT </w:t>
      </w:r>
      <w:r w:rsidR="009F5C4B">
        <w:t xml:space="preserve">to support </w:t>
      </w:r>
      <w:r w:rsidR="00214DE2">
        <w:t xml:space="preserve">Marine </w:t>
      </w:r>
      <w:r w:rsidR="009F5C4B">
        <w:t>Aids to Navgation Provision</w:t>
      </w:r>
      <w:bookmarkEnd w:id="11"/>
    </w:p>
    <w:p w14:paraId="310D2AE9" w14:textId="3EC3DB6E" w:rsidR="00017391" w:rsidRDefault="00017391" w:rsidP="006C251E">
      <w:pPr>
        <w:pStyle w:val="BodyText"/>
      </w:pPr>
      <w:r>
        <w:t>Typical use</w:t>
      </w:r>
      <w:r w:rsidR="001A0C0E">
        <w:t>s</w:t>
      </w:r>
      <w:r>
        <w:t xml:space="preserve"> for</w:t>
      </w:r>
      <w:r w:rsidR="00BD1867">
        <w:t xml:space="preserve"> IMT, </w:t>
      </w:r>
      <w:r w:rsidR="00F93E14">
        <w:t xml:space="preserve">to support the provision of </w:t>
      </w:r>
      <w:r w:rsidR="00CE3C43">
        <w:t xml:space="preserve">marine </w:t>
      </w:r>
      <w:r w:rsidR="00F93E14">
        <w:t>AtoN, including VTS,</w:t>
      </w:r>
      <w:r>
        <w:t xml:space="preserve"> include the following:</w:t>
      </w:r>
    </w:p>
    <w:p w14:paraId="0C692E28" w14:textId="2E2BD5A3" w:rsidR="00017391" w:rsidRDefault="00017391" w:rsidP="00017391">
      <w:pPr>
        <w:pStyle w:val="BodyText"/>
        <w:numPr>
          <w:ilvl w:val="0"/>
          <w:numId w:val="49"/>
        </w:numPr>
      </w:pPr>
      <w:r>
        <w:t xml:space="preserve">Monitoring of Aids to Navigation: </w:t>
      </w:r>
      <w:r w:rsidR="007D56ED">
        <w:t xml:space="preserve">IMT </w:t>
      </w:r>
      <w:r>
        <w:t xml:space="preserve">provides a communications channel for remote Internet of Things (IoT) devices allowing </w:t>
      </w:r>
      <w:r w:rsidR="00F93E14">
        <w:t>the shore authority</w:t>
      </w:r>
      <w:r>
        <w:t xml:space="preserve"> to monitor a wide range of peripheral AtoN and their supporting subsystems including batteries, solar panels and electricity generating systems.</w:t>
      </w:r>
    </w:p>
    <w:p w14:paraId="2B5629FB" w14:textId="4BB1E0F6"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w:t>
      </w:r>
      <w:r w:rsidR="00714A94">
        <w:t xml:space="preserve">IMT </w:t>
      </w:r>
      <w:r>
        <w:t>enables the placing of meteorological and hydrographic sensors in ideal locations to gather the required data and ensure that this is available in real time to share with ship and shore services using AIS, ASM</w:t>
      </w:r>
      <w:r w:rsidR="006013D1">
        <w:t>, VDE</w:t>
      </w:r>
      <w:r>
        <w:t xml:space="preserve"> and </w:t>
      </w:r>
      <w:r w:rsidR="0035365A">
        <w:t xml:space="preserve">IMT </w:t>
      </w:r>
      <w:r>
        <w:t>as the ship to shore communication channel.</w:t>
      </w:r>
    </w:p>
    <w:p w14:paraId="3D447D71" w14:textId="346520A6"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w:t>
      </w:r>
      <w:r w:rsidR="0035365A">
        <w:t xml:space="preserve">IMT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w:t>
      </w:r>
      <w:r w:rsidR="00377E86">
        <w:t>maritime information.</w:t>
      </w:r>
      <w:r w:rsidR="0035365A">
        <w:t xml:space="preserve"> </w:t>
      </w:r>
      <w:r w:rsidR="000379F6">
        <w:t>Processing at the edge (at the device) can limit the amount of data that is to be transferred.</w:t>
      </w:r>
    </w:p>
    <w:p w14:paraId="5C0B48B0" w14:textId="5A2BE32E" w:rsidR="00600CED" w:rsidRDefault="00600CED" w:rsidP="00600CED">
      <w:pPr>
        <w:pStyle w:val="BodyText"/>
        <w:numPr>
          <w:ilvl w:val="0"/>
          <w:numId w:val="49"/>
        </w:numPr>
      </w:pPr>
      <w:r w:rsidRPr="00600CED">
        <w:t xml:space="preserve">Dissemination of </w:t>
      </w:r>
      <w:commentRangeStart w:id="12"/>
      <w:r w:rsidRPr="00600CED">
        <w:t xml:space="preserve">[IHO] S-100 </w:t>
      </w:r>
      <w:commentRangeEnd w:id="12"/>
      <w:r>
        <w:rPr>
          <w:rStyle w:val="CommentReference"/>
        </w:rPr>
        <w:commentReference w:id="12"/>
      </w:r>
      <w:r w:rsidRPr="00600CED">
        <w:t>Series of services.</w:t>
      </w:r>
    </w:p>
    <w:p w14:paraId="7EFCB142" w14:textId="13F2DA7C" w:rsidR="000379F6" w:rsidRDefault="00F93E14" w:rsidP="000379F6">
      <w:pPr>
        <w:pStyle w:val="BodyText"/>
      </w:pPr>
      <w:r>
        <w:t xml:space="preserve">It is noted that many </w:t>
      </w:r>
      <w:r w:rsidR="000379F6">
        <w:t xml:space="preserve">ship operators are </w:t>
      </w:r>
      <w:r>
        <w:t xml:space="preserve">currently </w:t>
      </w:r>
      <w:r w:rsidR="000379F6">
        <w:t xml:space="preserve">using </w:t>
      </w:r>
      <w:r w:rsidR="000534F4">
        <w:t xml:space="preserve">IMT </w:t>
      </w:r>
      <w:r w:rsidR="000379F6">
        <w:t xml:space="preserve">systems to provide services to crew, </w:t>
      </w:r>
      <w:r>
        <w:t>monitor containers, collect data on emissions</w:t>
      </w:r>
      <w:r w:rsidR="000379F6">
        <w:t xml:space="preserve"> and</w:t>
      </w:r>
      <w:r>
        <w:t xml:space="preserve"> monitor</w:t>
      </w:r>
      <w:r w:rsidR="000379F6">
        <w:t xml:space="preserve"> vessel systems using existing coastal and port </w:t>
      </w:r>
      <w:r w:rsidR="000534F4">
        <w:t xml:space="preserve">IMT </w:t>
      </w:r>
      <w:r w:rsidR="000379F6">
        <w:t>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13" w:name="_Toc67347932"/>
      <w:r>
        <w:t xml:space="preserve">Development of </w:t>
      </w:r>
      <w:r w:rsidR="00E4156E">
        <w:t>IMT</w:t>
      </w:r>
      <w:bookmarkEnd w:id="13"/>
      <w:r w:rsidR="00E4156E">
        <w:t xml:space="preserve"> </w:t>
      </w:r>
    </w:p>
    <w:p w14:paraId="0CAE9AAF" w14:textId="52740B7B" w:rsidR="006C251E" w:rsidRDefault="006C251E" w:rsidP="006C251E">
      <w:pPr>
        <w:pStyle w:val="Heading1separatationline"/>
      </w:pPr>
    </w:p>
    <w:p w14:paraId="0C98CB34" w14:textId="66BFC16F" w:rsidR="00BC5284" w:rsidRDefault="00D347A4" w:rsidP="00611F74">
      <w:pPr>
        <w:pStyle w:val="BodyText"/>
      </w:pPr>
      <w:r>
        <w:t xml:space="preserve">Over the years </w:t>
      </w:r>
      <w:r w:rsidR="00E4156E">
        <w:t>IMT</w:t>
      </w:r>
      <w:r w:rsidR="006013D1">
        <w:t xml:space="preserve"> </w:t>
      </w:r>
      <w:r>
        <w:t xml:space="preserve">systems have developed from the initial 1G technology available in the 1980’s to the </w:t>
      </w:r>
      <w:r w:rsidR="005A1F68">
        <w:t xml:space="preserve">subsequent generational systems (up to 5G today) that provide capabilities and services that were not even imaginable then. </w:t>
      </w:r>
    </w:p>
    <w:p w14:paraId="57EC9078" w14:textId="1CA62806" w:rsidR="00833855" w:rsidRPr="00833855" w:rsidRDefault="00E25281" w:rsidP="00AB64C4">
      <w:pPr>
        <w:pStyle w:val="Tablecaption"/>
        <w:jc w:val="center"/>
      </w:pPr>
      <w:bookmarkStart w:id="14" w:name="_Toc67324995"/>
      <w:r>
        <w:t>Major system milestones for</w:t>
      </w:r>
      <w:r w:rsidR="00833855">
        <w:t xml:space="preserve"> </w:t>
      </w:r>
      <w:r>
        <w:t>IMT (</w:t>
      </w:r>
      <w:r w:rsidR="00833855">
        <w:t>3GPP</w:t>
      </w:r>
      <w:r>
        <w:t>)</w:t>
      </w:r>
      <w:r w:rsidR="00833855">
        <w:t xml:space="preserve"> technology</w:t>
      </w:r>
      <w:bookmarkEnd w:id="14"/>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8F1954">
        <w:trPr>
          <w:cantSplit/>
          <w:trHeight w:val="2474"/>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4187E73A" w14:textId="22C3DF6B"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proofErr w:type="spellStart"/>
            <w:r w:rsidRPr="00497FDA">
              <w:rPr>
                <w:rFonts w:asciiTheme="majorHAnsi" w:hAnsiTheme="majorHAnsi" w:cstheme="majorHAnsi"/>
                <w:sz w:val="20"/>
                <w:szCs w:val="20"/>
              </w:rPr>
              <w:t>Radiocom</w:t>
            </w:r>
            <w:proofErr w:type="spellEnd"/>
            <w:r w:rsidRPr="00497FDA">
              <w:rPr>
                <w:rFonts w:asciiTheme="majorHAnsi" w:hAnsiTheme="majorHAnsi" w:cstheme="majorHAnsi"/>
                <w:sz w:val="20"/>
                <w:szCs w:val="20"/>
              </w:rPr>
              <w:t xml:space="preserve">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w:t>
            </w:r>
            <w:proofErr w:type="spellStart"/>
            <w:r w:rsidRPr="00497FDA">
              <w:rPr>
                <w:rFonts w:asciiTheme="majorHAnsi" w:hAnsiTheme="majorHAnsi" w:cstheme="majorHAnsi"/>
                <w:sz w:val="20"/>
                <w:szCs w:val="20"/>
              </w:rPr>
              <w:t>Source:</w:t>
            </w:r>
            <w:hyperlink r:id="rId35" w:tgtFrame="_blank" w:history="1">
              <w:r w:rsidRPr="00497FDA">
                <w:rPr>
                  <w:rStyle w:val="Hyperlink"/>
                  <w:rFonts w:asciiTheme="majorHAnsi" w:hAnsiTheme="majorHAnsi" w:cstheme="majorHAnsi"/>
                  <w:sz w:val="20"/>
                  <w:szCs w:val="20"/>
                </w:rPr>
                <w:t>wikipedia</w:t>
              </w:r>
              <w:proofErr w:type="spellEnd"/>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E25281">
        <w:trPr>
          <w:cantSplit/>
          <w:trHeight w:val="2231"/>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53BFA032" w14:textId="01A7CCD5"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CDMAOne</w:t>
            </w:r>
            <w:proofErr w:type="spellEnd"/>
            <w:r w:rsidRPr="00497FDA">
              <w:rPr>
                <w:rFonts w:asciiTheme="majorHAnsi" w:hAnsiTheme="majorHAnsi" w:cstheme="majorHAnsi"/>
                <w:sz w:val="20"/>
                <w:szCs w:val="20"/>
              </w:rPr>
              <w:t xml:space="preserv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8F1954">
        <w:trPr>
          <w:cantSplit/>
          <w:trHeight w:val="2510"/>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2B338020" w14:textId="4B22A0A5"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5BDE8432" w14:textId="75209FE4"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Packet data Access (HSPA).</w:t>
            </w:r>
          </w:p>
          <w:p w14:paraId="1AD9AE5F" w14:textId="2B97EEF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368FEEE1" w14:textId="7FA2D633"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07945E9C" w14:textId="1DA3E00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8F1954">
        <w:trPr>
          <w:cantSplit/>
          <w:trHeight w:val="1070"/>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5503700F" w14:textId="150D16DF"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656C3F87" w14:textId="0D4CB0D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64401A83" w14:textId="2450325B" w:rsidR="00E069B6" w:rsidRDefault="006C251E" w:rsidP="00E069B6">
      <w:pPr>
        <w:pStyle w:val="Heading1"/>
      </w:pPr>
      <w:bookmarkStart w:id="15" w:name="_Toc67347933"/>
      <w:r>
        <w:t>Definitions</w:t>
      </w:r>
      <w:bookmarkEnd w:id="15"/>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00B3EA18" w14:textId="77777777" w:rsidR="000379F6" w:rsidRDefault="000379F6" w:rsidP="00E069B6">
      <w:pPr>
        <w:pStyle w:val="BodyText"/>
      </w:pPr>
    </w:p>
    <w:p w14:paraId="7F0DCEC7" w14:textId="4177A43C" w:rsidR="00E069B6" w:rsidRDefault="006C251E" w:rsidP="00E069B6">
      <w:pPr>
        <w:pStyle w:val="Heading1"/>
      </w:pPr>
      <w:bookmarkStart w:id="16" w:name="_Toc67347934"/>
      <w:r>
        <w:t>Acronyms</w:t>
      </w:r>
      <w:bookmarkEnd w:id="16"/>
    </w:p>
    <w:p w14:paraId="4FC292D7" w14:textId="77777777" w:rsidR="00E069B6" w:rsidRPr="00E069B6" w:rsidRDefault="00E069B6" w:rsidP="00E069B6">
      <w:pPr>
        <w:pStyle w:val="Heading1separatationline"/>
      </w:pPr>
    </w:p>
    <w:p w14:paraId="4D42CF47" w14:textId="77777777" w:rsidR="002E5411" w:rsidRDefault="002E5411" w:rsidP="002E5411">
      <w:pPr>
        <w:pStyle w:val="Acronym"/>
      </w:pPr>
      <w:r>
        <w:t>AIS</w:t>
      </w:r>
      <w:r>
        <w:tab/>
        <w:t>Automatic Identification System</w:t>
      </w:r>
    </w:p>
    <w:p w14:paraId="740CAD1C" w14:textId="3AE995BB" w:rsidR="002E5411" w:rsidRDefault="002E5411" w:rsidP="00E069B6">
      <w:pPr>
        <w:pStyle w:val="Acronym"/>
      </w:pPr>
      <w:r>
        <w:t>ARIB</w:t>
      </w:r>
      <w:r>
        <w:tab/>
      </w:r>
      <w:r w:rsidR="00C01D4A" w:rsidRPr="00C01D4A">
        <w:t>Association of Radio Industries and Businesses</w:t>
      </w:r>
    </w:p>
    <w:p w14:paraId="02AF1F2A" w14:textId="77777777" w:rsidR="00C01D4A" w:rsidRDefault="00C01D4A" w:rsidP="00C01D4A">
      <w:pPr>
        <w:pStyle w:val="Acronym"/>
      </w:pPr>
      <w:r>
        <w:t>ASM</w:t>
      </w:r>
      <w:r>
        <w:tab/>
        <w:t xml:space="preserve">ASM as part of the VHF Data Exchange System </w:t>
      </w:r>
    </w:p>
    <w:p w14:paraId="134B452F" w14:textId="77777777" w:rsidR="00C01D4A" w:rsidRDefault="00C01D4A" w:rsidP="00C01D4A">
      <w:pPr>
        <w:pStyle w:val="Acronym"/>
      </w:pPr>
      <w:r>
        <w:t>ASM</w:t>
      </w:r>
      <w:r>
        <w:tab/>
        <w:t>Application Specific Message</w:t>
      </w:r>
    </w:p>
    <w:p w14:paraId="1BD6BF16" w14:textId="443B2220" w:rsidR="002E5411" w:rsidRDefault="002E5411" w:rsidP="00E069B6">
      <w:pPr>
        <w:pStyle w:val="Acronym"/>
      </w:pPr>
      <w:r>
        <w:t>ATIS</w:t>
      </w:r>
      <w:r>
        <w:tab/>
      </w:r>
      <w:r w:rsidR="00C01D4A" w:rsidRPr="00C01D4A">
        <w:t>Alliance for Telecommunications Industry Solutions</w:t>
      </w:r>
      <w:r w:rsidR="00C01D4A">
        <w:t>, USA</w:t>
      </w:r>
    </w:p>
    <w:p w14:paraId="39342C6F" w14:textId="61DC857E" w:rsidR="002E5411" w:rsidRDefault="002E5411" w:rsidP="00E069B6">
      <w:pPr>
        <w:pStyle w:val="Acronym"/>
      </w:pPr>
      <w:r>
        <w:t>CCSA</w:t>
      </w:r>
      <w:r>
        <w:tab/>
      </w:r>
      <w:r w:rsidR="00C01D4A" w:rsidRPr="00C01D4A">
        <w:t>China Communications Standards Association</w:t>
      </w:r>
    </w:p>
    <w:p w14:paraId="63FA1AD9" w14:textId="41D1CEF0" w:rsidR="00C01D4A" w:rsidRDefault="00C01D4A" w:rsidP="00E069B6">
      <w:pPr>
        <w:pStyle w:val="Acronym"/>
      </w:pPr>
      <w:r>
        <w:t>CT</w:t>
      </w:r>
      <w:r>
        <w:tab/>
      </w:r>
      <w:r w:rsidRPr="00C01D4A">
        <w:t>Core Network &amp; Terminals</w:t>
      </w:r>
      <w:r>
        <w:t xml:space="preserve"> (A </w:t>
      </w:r>
      <w:r w:rsidRPr="00C01D4A">
        <w:t>Technical Specification Groups (TSG) in 3GPP</w:t>
      </w:r>
      <w:r>
        <w:t>)</w:t>
      </w:r>
    </w:p>
    <w:p w14:paraId="2261F073" w14:textId="48E7EA47" w:rsidR="002E5411" w:rsidRDefault="002E5411" w:rsidP="00E069B6">
      <w:pPr>
        <w:pStyle w:val="Acronym"/>
      </w:pPr>
      <w:r>
        <w:t>ESTI</w:t>
      </w:r>
      <w:r>
        <w:tab/>
      </w:r>
      <w:r w:rsidR="00C01D4A" w:rsidRPr="00C01D4A">
        <w:t>The European Telecommunications Standards Institute</w:t>
      </w:r>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367223F" w14:textId="3578530F" w:rsidR="002E5411" w:rsidRDefault="002E5411" w:rsidP="00E069B6">
      <w:pPr>
        <w:pStyle w:val="Acronym"/>
      </w:pPr>
      <w:proofErr w:type="spellStart"/>
      <w:r>
        <w:t>eMBB</w:t>
      </w:r>
      <w:proofErr w:type="spellEnd"/>
      <w:r>
        <w:tab/>
      </w:r>
      <w:r w:rsidRPr="002E5411">
        <w:t>enhanced Mobile Broadband</w:t>
      </w:r>
    </w:p>
    <w:p w14:paraId="30397213" w14:textId="1B15A223" w:rsidR="002E5411" w:rsidRDefault="002E5411" w:rsidP="00E069B6">
      <w:pPr>
        <w:pStyle w:val="Acronym"/>
      </w:pPr>
      <w:r>
        <w:t>IMT</w:t>
      </w:r>
      <w:r>
        <w:tab/>
      </w:r>
      <w:r w:rsidRPr="002E5411">
        <w:t>International Mobile Telecommunications</w:t>
      </w:r>
    </w:p>
    <w:p w14:paraId="27F9DF99" w14:textId="64C86AFA" w:rsidR="002E5411" w:rsidRDefault="002E5411" w:rsidP="00E069B6">
      <w:pPr>
        <w:pStyle w:val="Acronym"/>
      </w:pPr>
      <w:r>
        <w:t>IMT-Advanced</w:t>
      </w:r>
      <w:r>
        <w:tab/>
        <w:t>I</w:t>
      </w:r>
      <w:r w:rsidRPr="002E5411">
        <w:t>nternational Mobile Telecommunications-</w:t>
      </w:r>
      <w:r>
        <w:t>4</w:t>
      </w:r>
      <w:r w:rsidRPr="002E5411">
        <w:t>G standard</w:t>
      </w:r>
    </w:p>
    <w:p w14:paraId="161BF4E4" w14:textId="15C3D183" w:rsidR="002E5411" w:rsidRDefault="002E5411" w:rsidP="00E069B6">
      <w:pPr>
        <w:pStyle w:val="Acronym"/>
      </w:pPr>
      <w:r>
        <w:t>IMT-2000</w:t>
      </w:r>
      <w:r>
        <w:tab/>
        <w:t>I</w:t>
      </w:r>
      <w:r w:rsidRPr="002E5411">
        <w:t>nternational Mobile Telecommunications-</w:t>
      </w:r>
      <w:r>
        <w:t>3</w:t>
      </w:r>
      <w:r w:rsidRPr="002E5411">
        <w:t>G standard</w:t>
      </w:r>
    </w:p>
    <w:p w14:paraId="1A613CBB" w14:textId="2A9A9BD0" w:rsidR="002E5411" w:rsidRDefault="002E5411" w:rsidP="00E069B6">
      <w:pPr>
        <w:pStyle w:val="Acronym"/>
      </w:pPr>
      <w:r>
        <w:t>IMT-2020</w:t>
      </w:r>
      <w:r>
        <w:tab/>
      </w:r>
      <w:r w:rsidRPr="002E5411">
        <w:t>International Mobile Telecommunications-5G standard</w:t>
      </w:r>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pPr>
      <w:r>
        <w:t>LTE</w:t>
      </w:r>
      <w:r>
        <w:tab/>
      </w:r>
      <w:r w:rsidRPr="000379F6">
        <w:t>Long-Term Evolution</w:t>
      </w:r>
    </w:p>
    <w:p w14:paraId="103F1E41" w14:textId="3B90E6FE" w:rsidR="002E5411" w:rsidRDefault="002E5411" w:rsidP="00E069B6">
      <w:pPr>
        <w:pStyle w:val="Acronym"/>
      </w:pPr>
      <w:proofErr w:type="spellStart"/>
      <w:r w:rsidRPr="002E5411">
        <w:t>mMTC</w:t>
      </w:r>
      <w:proofErr w:type="spellEnd"/>
      <w:r>
        <w:tab/>
      </w:r>
      <w:r w:rsidRPr="002E5411">
        <w:t>Massive Machine-Type Communications</w:t>
      </w:r>
    </w:p>
    <w:p w14:paraId="40FA6B26" w14:textId="057E5F76" w:rsidR="002E5411" w:rsidRDefault="002E5411" w:rsidP="00E069B6">
      <w:pPr>
        <w:pStyle w:val="Acronym"/>
      </w:pPr>
      <w:r>
        <w:t>NB-IoT</w:t>
      </w:r>
      <w:r>
        <w:tab/>
      </w:r>
      <w:r w:rsidRPr="002E5411">
        <w:t>Narrowband Internet of Things</w:t>
      </w:r>
    </w:p>
    <w:p w14:paraId="5C20E2A5" w14:textId="2D25D8D3" w:rsidR="00C01D4A" w:rsidRDefault="00C01D4A" w:rsidP="00E069B6">
      <w:pPr>
        <w:pStyle w:val="Acronym"/>
      </w:pPr>
      <w:r>
        <w:t>RAN</w:t>
      </w:r>
      <w:r>
        <w:tab/>
      </w:r>
      <w:r w:rsidRPr="00C01D4A">
        <w:t>Radio Access Networks</w:t>
      </w:r>
      <w:r>
        <w:t xml:space="preserve"> (A </w:t>
      </w:r>
      <w:r w:rsidRPr="00C01D4A">
        <w:t>Technical Specification Groups (TSG) in 3GPP</w:t>
      </w:r>
      <w:r>
        <w:t>)</w:t>
      </w:r>
    </w:p>
    <w:p w14:paraId="55E2936A" w14:textId="6E3BE657" w:rsidR="00C01D4A" w:rsidRDefault="00C01D4A" w:rsidP="00E069B6">
      <w:pPr>
        <w:pStyle w:val="Acronym"/>
      </w:pPr>
      <w:r>
        <w:t>SA</w:t>
      </w:r>
      <w:r>
        <w:tab/>
      </w:r>
      <w:r w:rsidRPr="00C01D4A">
        <w:t>Services &amp; Systems Aspects</w:t>
      </w:r>
      <w:r>
        <w:t xml:space="preserve"> (A </w:t>
      </w:r>
      <w:r w:rsidRPr="00C01D4A">
        <w:t>Technical Specification Groups (TSG) in 3GPP</w:t>
      </w:r>
      <w:r>
        <w:t>)</w:t>
      </w:r>
    </w:p>
    <w:p w14:paraId="1D0D9D68" w14:textId="48B0D973" w:rsidR="00C01D4A" w:rsidRDefault="00C01D4A" w:rsidP="00E069B6">
      <w:pPr>
        <w:pStyle w:val="Acronym"/>
      </w:pPr>
      <w:r>
        <w:t>TSDSI</w:t>
      </w:r>
      <w:r>
        <w:tab/>
      </w:r>
      <w:r w:rsidRPr="00C01D4A">
        <w:t>Telecommunications Standards Development Society, India</w:t>
      </w:r>
    </w:p>
    <w:p w14:paraId="76B3EE64" w14:textId="766930C1" w:rsidR="00C01D4A" w:rsidRDefault="00C01D4A" w:rsidP="00E069B6">
      <w:pPr>
        <w:pStyle w:val="Acronym"/>
      </w:pPr>
      <w:r>
        <w:t>TTA</w:t>
      </w:r>
      <w:r>
        <w:tab/>
      </w:r>
      <w:r w:rsidRPr="00C01D4A">
        <w:t>Telecommunications Technology Association, Korea</w:t>
      </w:r>
    </w:p>
    <w:p w14:paraId="023CDCE2" w14:textId="57BA8A66" w:rsidR="00C01D4A" w:rsidRDefault="00C01D4A" w:rsidP="00E069B6">
      <w:pPr>
        <w:pStyle w:val="Acronym"/>
      </w:pPr>
      <w:r>
        <w:t>TTC</w:t>
      </w:r>
      <w:r>
        <w:tab/>
      </w:r>
      <w:r w:rsidRPr="00C01D4A">
        <w:t>Telecommunication Technology Committee, Japan</w:t>
      </w:r>
    </w:p>
    <w:p w14:paraId="517EAF52" w14:textId="64AB86E7" w:rsidR="000670B7" w:rsidRDefault="000670B7" w:rsidP="00E069B6">
      <w:pPr>
        <w:pStyle w:val="Acronym"/>
      </w:pPr>
      <w:r>
        <w:t>VDES</w:t>
      </w:r>
      <w:r>
        <w:tab/>
        <w:t>VHF Data Exchange System</w:t>
      </w:r>
    </w:p>
    <w:p w14:paraId="7E5556FC" w14:textId="567B007B" w:rsidR="00C01D4A" w:rsidRDefault="000670B7" w:rsidP="002E5411">
      <w:pPr>
        <w:pStyle w:val="Acronym"/>
      </w:pPr>
      <w:r>
        <w:t>VTS</w:t>
      </w:r>
      <w:r>
        <w:tab/>
        <w:t>Vessel Traffic Services</w:t>
      </w:r>
    </w:p>
    <w:p w14:paraId="29017350" w14:textId="1330A433" w:rsidR="00C01D4A" w:rsidRDefault="000379F6" w:rsidP="00E069B6">
      <w:pPr>
        <w:pStyle w:val="Acronym"/>
      </w:pPr>
      <w:r>
        <w:t>3GPP</w:t>
      </w:r>
      <w:r>
        <w:tab/>
        <w:t>3rd Generation Partnership Project</w:t>
      </w:r>
    </w:p>
    <w:p w14:paraId="1D72D911" w14:textId="2660B075" w:rsidR="00C01D4A" w:rsidRDefault="00C01D4A" w:rsidP="00E069B6">
      <w:pPr>
        <w:pStyle w:val="Acronym"/>
      </w:pPr>
    </w:p>
    <w:p w14:paraId="49E2F09B" w14:textId="10A8ACAE" w:rsidR="000379F6" w:rsidRDefault="000379F6" w:rsidP="002E5411">
      <w:pPr>
        <w:pStyle w:val="Acronym"/>
        <w:ind w:left="0" w:firstLine="0"/>
      </w:pPr>
    </w:p>
    <w:p w14:paraId="6059D0ED" w14:textId="7CE6BBB0" w:rsidR="00D32DDF" w:rsidRDefault="006C251E" w:rsidP="002C77F4">
      <w:pPr>
        <w:pStyle w:val="Heading1"/>
      </w:pPr>
      <w:bookmarkStart w:id="17" w:name="_Toc67347935"/>
      <w:r>
        <w:t>References</w:t>
      </w:r>
      <w:bookmarkEnd w:id="17"/>
    </w:p>
    <w:p w14:paraId="70B10769" w14:textId="77777777" w:rsidR="00D32DDF" w:rsidRDefault="00D32DDF" w:rsidP="00D32DDF">
      <w:pPr>
        <w:pStyle w:val="Heading1separatationline"/>
      </w:pPr>
    </w:p>
    <w:p w14:paraId="6CA02165" w14:textId="5D393AFD" w:rsidR="000379F6" w:rsidRDefault="008A5FC6"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569D70A6" w14:textId="77777777" w:rsidR="00337093" w:rsidRDefault="00337093" w:rsidP="00337093">
      <w:pPr>
        <w:pStyle w:val="BodyText"/>
        <w:rPr>
          <w:rFonts w:eastAsia="Times New Roman" w:cs="Times New Roman"/>
          <w:szCs w:val="20"/>
        </w:rPr>
      </w:pPr>
      <w:r>
        <w:rPr>
          <w:rFonts w:eastAsia="Times New Roman" w:cs="Times New Roman"/>
          <w:szCs w:val="20"/>
        </w:rPr>
        <w:t>IALA ENAV23-9.4 ‘LTE-Maritime as an e-Navigation communication infrastructure’(Republic of Korea)</w:t>
      </w:r>
    </w:p>
    <w:p w14:paraId="70F7827E" w14:textId="77777777" w:rsidR="00337093" w:rsidRDefault="00337093" w:rsidP="00337093">
      <w:pPr>
        <w:pStyle w:val="BodyText"/>
        <w:rPr>
          <w:rFonts w:eastAsia="Times New Roman" w:cs="Times New Roman"/>
          <w:szCs w:val="20"/>
          <w:lang w:val="en-US"/>
        </w:rPr>
      </w:pPr>
      <w:r>
        <w:rPr>
          <w:rFonts w:eastAsia="Times New Roman" w:cs="Times New Roman"/>
          <w:szCs w:val="20"/>
          <w:lang w:val="en-US"/>
        </w:rPr>
        <w:t>IALA ENAV24-6.1.21 ‘Summary of LTE Private Network for the Yangtze River Estuary e-Navigation Construction Project’(China)</w:t>
      </w:r>
    </w:p>
    <w:p w14:paraId="62561515" w14:textId="77777777" w:rsidR="00337093" w:rsidRDefault="00337093" w:rsidP="00337093">
      <w:pPr>
        <w:pStyle w:val="BodyText"/>
        <w:rPr>
          <w:rFonts w:eastAsia="Times New Roman" w:cs="Times New Roman"/>
          <w:szCs w:val="20"/>
        </w:rPr>
      </w:pPr>
    </w:p>
    <w:p w14:paraId="515CB768" w14:textId="1998676F" w:rsidR="00497FDA" w:rsidRPr="00FB45A9" w:rsidRDefault="008A5FC6" w:rsidP="000670B7">
      <w:pPr>
        <w:pStyle w:val="BodyText"/>
        <w:rPr>
          <w:rFonts w:eastAsiaTheme="minorEastAsia" w:cs="Times New Roman"/>
          <w:szCs w:val="20"/>
          <w:lang w:eastAsia="ko-KR"/>
        </w:rPr>
      </w:pPr>
      <w:hyperlink r:id="rId38" w:history="1">
        <w:r w:rsidR="00337093">
          <w:rPr>
            <w:rStyle w:val="Hyperlink"/>
            <w:rFonts w:cs="Times New Roman"/>
            <w:szCs w:val="20"/>
            <w:lang w:eastAsia="ko-KR"/>
          </w:rPr>
          <w:t>e-Navigation Underway 2020 programme book</w:t>
        </w:r>
      </w:hyperlink>
      <w:r w:rsidR="00337093">
        <w:rPr>
          <w:rFonts w:cs="Times New Roman"/>
          <w:szCs w:val="20"/>
          <w:lang w:eastAsia="ko-KR"/>
        </w:rPr>
        <w:t>, ‘LTE-Maritime: the beginning of Digital Maritime Communication infrastructure for e-Navigation era’, Session 2, 8</w:t>
      </w:r>
      <w:r w:rsidR="00337093">
        <w:rPr>
          <w:rFonts w:cs="Times New Roman"/>
          <w:szCs w:val="20"/>
          <w:vertAlign w:val="superscript"/>
          <w:lang w:eastAsia="ko-KR"/>
        </w:rPr>
        <w:t>th</w:t>
      </w:r>
      <w:r w:rsidR="00337093">
        <w:rPr>
          <w:rFonts w:cs="Times New Roman"/>
          <w:szCs w:val="20"/>
          <w:lang w:eastAsia="ko-KR"/>
        </w:rPr>
        <w:t xml:space="preserve"> </w:t>
      </w:r>
      <w:r w:rsidR="00337093">
        <w:rPr>
          <w:rFonts w:cs="Times New Roman"/>
          <w:szCs w:val="20"/>
          <w:vertAlign w:val="superscript"/>
          <w:lang w:eastAsia="ko-KR"/>
        </w:rPr>
        <w:t xml:space="preserve"> </w:t>
      </w:r>
      <w:r w:rsidR="00337093">
        <w:rPr>
          <w:rFonts w:cs="Times New Roman"/>
          <w:szCs w:val="20"/>
          <w:lang w:eastAsia="ko-KR"/>
        </w:rPr>
        <w:t>September, 2020, Republic of Korea.</w:t>
      </w:r>
    </w:p>
    <w:p w14:paraId="2F63288E" w14:textId="77777777" w:rsidR="00497FDA" w:rsidRDefault="00497FDA" w:rsidP="000670B7">
      <w:pPr>
        <w:pStyle w:val="BodyText"/>
        <w:rPr>
          <w:rFonts w:eastAsia="Times New Roman" w:cs="Times New Roman"/>
          <w:szCs w:val="20"/>
        </w:rPr>
      </w:pPr>
    </w:p>
    <w:p w14:paraId="372495A4" w14:textId="1E68A105" w:rsidR="000379F6" w:rsidRDefault="00D347A4" w:rsidP="000670B7">
      <w:pPr>
        <w:pStyle w:val="BodyText"/>
        <w:rPr>
          <w:rFonts w:eastAsia="Times New Roman" w:cs="Times New Roman"/>
          <w:szCs w:val="20"/>
        </w:rPr>
      </w:pPr>
      <w:r>
        <w:rPr>
          <w:rFonts w:eastAsia="Times New Roman" w:cs="Times New Roman"/>
          <w:szCs w:val="20"/>
        </w:rPr>
        <w:t>[</w:t>
      </w:r>
      <w:r w:rsidR="00EA447E">
        <w:rPr>
          <w:rFonts w:eastAsia="Times New Roman" w:cs="Times New Roman"/>
          <w:szCs w:val="20"/>
        </w:rPr>
        <w:t xml:space="preserve">there </w:t>
      </w:r>
      <w:r>
        <w:rPr>
          <w:rFonts w:eastAsia="Times New Roman" w:cs="Times New Roman"/>
          <w:szCs w:val="20"/>
        </w:rPr>
        <w:t xml:space="preserve">could </w:t>
      </w:r>
      <w:r w:rsidR="00EA447E">
        <w:rPr>
          <w:rFonts w:eastAsia="Times New Roman" w:cs="Times New Roman"/>
          <w:szCs w:val="20"/>
        </w:rPr>
        <w:t xml:space="preserve">be opportunity to </w:t>
      </w:r>
      <w:r>
        <w:rPr>
          <w:rFonts w:eastAsia="Times New Roman" w:cs="Times New Roman"/>
          <w:szCs w:val="20"/>
        </w:rPr>
        <w:t xml:space="preserve">add in annexes, with use case examples from </w:t>
      </w:r>
      <w:r w:rsidR="001C40B6">
        <w:rPr>
          <w:rFonts w:eastAsia="Times New Roman" w:cs="Times New Roman"/>
          <w:szCs w:val="20"/>
        </w:rPr>
        <w:t xml:space="preserve">Republic of </w:t>
      </w:r>
      <w:r>
        <w:rPr>
          <w:rFonts w:eastAsia="Times New Roman" w:cs="Times New Roman"/>
          <w:szCs w:val="20"/>
        </w:rPr>
        <w:t xml:space="preserve">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9"/>
      <w:headerReference w:type="default" r:id="rId40"/>
      <w:footerReference w:type="default" r:id="rId41"/>
      <w:headerReference w:type="first" r:id="rId42"/>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Author" w:initials="A">
    <w:p w14:paraId="4A425069" w14:textId="7ED0BD29" w:rsidR="00600CED" w:rsidRDefault="00600CED">
      <w:pPr>
        <w:pStyle w:val="CommentText"/>
      </w:pPr>
      <w:r>
        <w:rPr>
          <w:rStyle w:val="CommentReferenc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3685B" w14:textId="77777777" w:rsidR="007578D8" w:rsidRDefault="007578D8" w:rsidP="003274DB">
      <w:r>
        <w:separator/>
      </w:r>
    </w:p>
    <w:p w14:paraId="34574C77" w14:textId="77777777" w:rsidR="007578D8" w:rsidRDefault="007578D8"/>
  </w:endnote>
  <w:endnote w:type="continuationSeparator" w:id="0">
    <w:p w14:paraId="43993A6B" w14:textId="77777777" w:rsidR="007578D8" w:rsidRDefault="007578D8" w:rsidP="003274DB">
      <w:r>
        <w:continuationSeparator/>
      </w:r>
    </w:p>
    <w:p w14:paraId="6862E892" w14:textId="77777777" w:rsidR="007578D8" w:rsidRDefault="0075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361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C50D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4C1120F9"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6AB56B3C" w14:textId="71D97EDC" w:rsidR="00B66FA8" w:rsidRPr="00C907DF" w:rsidRDefault="00AB64C4" w:rsidP="00C716E5">
    <w:pPr>
      <w:pStyle w:val="Footerportrait"/>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50315E77"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13F37E54" w14:textId="0CBCD7B5" w:rsidR="00B66FA8" w:rsidRPr="00525922" w:rsidRDefault="00AB64C4" w:rsidP="00C716E5">
    <w:pPr>
      <w:pStyle w:val="Footerportrait"/>
    </w:pPr>
    <w:fldSimple w:instr=" STYLEREF &quot;Edition number&quot; \* MERGEFORMAT ">
      <w:r w:rsidR="008A5FC6">
        <w:t>Edition 1.0</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4E406A45" w:rsidR="00B66FA8" w:rsidRPr="00C907DF" w:rsidRDefault="00AB64C4" w:rsidP="00184C2E">
    <w:pPr>
      <w:pStyle w:val="Footerportrait"/>
      <w:tabs>
        <w:tab w:val="clear" w:pos="10206"/>
        <w:tab w:val="right" w:pos="15137"/>
      </w:tabs>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r w:rsidR="00B66FA8">
      <w:tab/>
    </w:r>
  </w:p>
  <w:p w14:paraId="2DD72747" w14:textId="64404411" w:rsidR="00B66FA8" w:rsidRPr="00C907DF" w:rsidRDefault="00AB64C4" w:rsidP="00184C2E">
    <w:pPr>
      <w:pStyle w:val="Footerportrait"/>
      <w:tabs>
        <w:tab w:val="clear" w:pos="10206"/>
        <w:tab w:val="right" w:pos="15137"/>
      </w:tabs>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C5AAF" w14:textId="77777777" w:rsidR="007578D8" w:rsidRDefault="007578D8" w:rsidP="003274DB">
      <w:r>
        <w:separator/>
      </w:r>
    </w:p>
    <w:p w14:paraId="451FCB8F" w14:textId="77777777" w:rsidR="007578D8" w:rsidRDefault="007578D8"/>
  </w:footnote>
  <w:footnote w:type="continuationSeparator" w:id="0">
    <w:p w14:paraId="3F29BA23" w14:textId="77777777" w:rsidR="007578D8" w:rsidRDefault="007578D8" w:rsidP="003274DB">
      <w:r>
        <w:continuationSeparator/>
      </w:r>
    </w:p>
    <w:p w14:paraId="3ED6975F" w14:textId="77777777" w:rsidR="007578D8" w:rsidRDefault="00757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B66FA8" w:rsidRDefault="008A5FC6">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B66FA8" w:rsidRDefault="008A5FC6">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B66FA8" w:rsidRPr="00667792" w:rsidRDefault="008A5FC6"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B66FA8" w:rsidRDefault="008A5FC6">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B66FA8" w:rsidRPr="00ED2A8D" w:rsidRDefault="008A5FC6"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Header"/>
      <w:jc w:val="right"/>
    </w:pPr>
    <w:ins w:id="1" w:author="Author">
      <w:r w:rsidRPr="006965E3">
        <w:t>ENAV26-5.1.</w:t>
      </w:r>
      <w:r>
        <w:t>3</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B66FA8" w:rsidRDefault="008A5FC6">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B66FA8" w:rsidRDefault="008A5FC6">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B66FA8" w:rsidRPr="00ED2A8D" w:rsidRDefault="008A5FC6"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B66FA8" w:rsidRDefault="008A5FC6">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B66FA8" w:rsidRDefault="008A5FC6">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B66FA8" w:rsidRPr="00ED2A8D" w:rsidRDefault="008A5FC6"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B66FA8" w:rsidRPr="00ED2A8D" w:rsidRDefault="008A5FC6"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72B86"/>
    <w:rsid w:val="0007784F"/>
    <w:rsid w:val="0008654C"/>
    <w:rsid w:val="000904ED"/>
    <w:rsid w:val="00091545"/>
    <w:rsid w:val="000925B0"/>
    <w:rsid w:val="000A27A8"/>
    <w:rsid w:val="000B2356"/>
    <w:rsid w:val="000B66FC"/>
    <w:rsid w:val="000C711B"/>
    <w:rsid w:val="000D2431"/>
    <w:rsid w:val="000D5D0D"/>
    <w:rsid w:val="000E3954"/>
    <w:rsid w:val="000E3E52"/>
    <w:rsid w:val="000F0F9F"/>
    <w:rsid w:val="000F32B5"/>
    <w:rsid w:val="000F3F43"/>
    <w:rsid w:val="000F58ED"/>
    <w:rsid w:val="000F7857"/>
    <w:rsid w:val="00110865"/>
    <w:rsid w:val="00113D5B"/>
    <w:rsid w:val="00113F8F"/>
    <w:rsid w:val="00120D12"/>
    <w:rsid w:val="00122EBD"/>
    <w:rsid w:val="00124A79"/>
    <w:rsid w:val="00127A62"/>
    <w:rsid w:val="001349DB"/>
    <w:rsid w:val="00135AEB"/>
    <w:rsid w:val="00136E58"/>
    <w:rsid w:val="00152A5B"/>
    <w:rsid w:val="001547F9"/>
    <w:rsid w:val="00156AE0"/>
    <w:rsid w:val="001607D8"/>
    <w:rsid w:val="00160ECB"/>
    <w:rsid w:val="00161325"/>
    <w:rsid w:val="001636D2"/>
    <w:rsid w:val="0017187B"/>
    <w:rsid w:val="00182053"/>
    <w:rsid w:val="00184427"/>
    <w:rsid w:val="00184C2E"/>
    <w:rsid w:val="001875B1"/>
    <w:rsid w:val="001A0C0E"/>
    <w:rsid w:val="001A1493"/>
    <w:rsid w:val="001A4F5A"/>
    <w:rsid w:val="001B2A35"/>
    <w:rsid w:val="001B339A"/>
    <w:rsid w:val="001C0122"/>
    <w:rsid w:val="001C2DE9"/>
    <w:rsid w:val="001C40B6"/>
    <w:rsid w:val="001C5E66"/>
    <w:rsid w:val="001C650B"/>
    <w:rsid w:val="001C72B5"/>
    <w:rsid w:val="001D2E7A"/>
    <w:rsid w:val="001D3992"/>
    <w:rsid w:val="001D4A3E"/>
    <w:rsid w:val="001E416D"/>
    <w:rsid w:val="001E4D13"/>
    <w:rsid w:val="001F1DA4"/>
    <w:rsid w:val="001F341E"/>
    <w:rsid w:val="001F4EED"/>
    <w:rsid w:val="001F4EF8"/>
    <w:rsid w:val="001F5AB1"/>
    <w:rsid w:val="001F5E71"/>
    <w:rsid w:val="00201337"/>
    <w:rsid w:val="002022EA"/>
    <w:rsid w:val="002044E9"/>
    <w:rsid w:val="00205B17"/>
    <w:rsid w:val="00205D9B"/>
    <w:rsid w:val="00214DE2"/>
    <w:rsid w:val="002204DA"/>
    <w:rsid w:val="00222D4C"/>
    <w:rsid w:val="0022371A"/>
    <w:rsid w:val="00237785"/>
    <w:rsid w:val="00245A60"/>
    <w:rsid w:val="00246716"/>
    <w:rsid w:val="00251243"/>
    <w:rsid w:val="00251FB9"/>
    <w:rsid w:val="002520AD"/>
    <w:rsid w:val="00253009"/>
    <w:rsid w:val="0025660A"/>
    <w:rsid w:val="00257DF8"/>
    <w:rsid w:val="00257E4A"/>
    <w:rsid w:val="0026038D"/>
    <w:rsid w:val="0026770D"/>
    <w:rsid w:val="0027175D"/>
    <w:rsid w:val="0027517A"/>
    <w:rsid w:val="00282E9D"/>
    <w:rsid w:val="0028314D"/>
    <w:rsid w:val="002871B5"/>
    <w:rsid w:val="0029793F"/>
    <w:rsid w:val="002A1C42"/>
    <w:rsid w:val="002A6055"/>
    <w:rsid w:val="002A617C"/>
    <w:rsid w:val="002A71CF"/>
    <w:rsid w:val="002B3E9D"/>
    <w:rsid w:val="002C77F4"/>
    <w:rsid w:val="002D0869"/>
    <w:rsid w:val="002D78FE"/>
    <w:rsid w:val="002E4443"/>
    <w:rsid w:val="002E4993"/>
    <w:rsid w:val="002E5411"/>
    <w:rsid w:val="002E5BAC"/>
    <w:rsid w:val="002E7635"/>
    <w:rsid w:val="002F265A"/>
    <w:rsid w:val="0030413F"/>
    <w:rsid w:val="0030534D"/>
    <w:rsid w:val="00305EFE"/>
    <w:rsid w:val="00313B4B"/>
    <w:rsid w:val="00313D85"/>
    <w:rsid w:val="003144B9"/>
    <w:rsid w:val="003156F0"/>
    <w:rsid w:val="00315CE3"/>
    <w:rsid w:val="0031629B"/>
    <w:rsid w:val="003251FE"/>
    <w:rsid w:val="003274DB"/>
    <w:rsid w:val="00327FBF"/>
    <w:rsid w:val="00330891"/>
    <w:rsid w:val="00332A7B"/>
    <w:rsid w:val="003343E0"/>
    <w:rsid w:val="00335E40"/>
    <w:rsid w:val="00337093"/>
    <w:rsid w:val="00344408"/>
    <w:rsid w:val="00345E37"/>
    <w:rsid w:val="00347F3E"/>
    <w:rsid w:val="0035365A"/>
    <w:rsid w:val="003621C3"/>
    <w:rsid w:val="0036382D"/>
    <w:rsid w:val="00377E86"/>
    <w:rsid w:val="00380350"/>
    <w:rsid w:val="00380B4E"/>
    <w:rsid w:val="003816E4"/>
    <w:rsid w:val="00385F39"/>
    <w:rsid w:val="0039131E"/>
    <w:rsid w:val="0039543A"/>
    <w:rsid w:val="003A04A6"/>
    <w:rsid w:val="003A1A56"/>
    <w:rsid w:val="003A7759"/>
    <w:rsid w:val="003A7F6E"/>
    <w:rsid w:val="003B03EA"/>
    <w:rsid w:val="003C1ADA"/>
    <w:rsid w:val="003C7C34"/>
    <w:rsid w:val="003D0480"/>
    <w:rsid w:val="003D0F37"/>
    <w:rsid w:val="003D1798"/>
    <w:rsid w:val="003D400A"/>
    <w:rsid w:val="003D5150"/>
    <w:rsid w:val="003F1901"/>
    <w:rsid w:val="003F1C3A"/>
    <w:rsid w:val="0041086B"/>
    <w:rsid w:val="00414698"/>
    <w:rsid w:val="004217AD"/>
    <w:rsid w:val="0042565E"/>
    <w:rsid w:val="00430AD0"/>
    <w:rsid w:val="00432C05"/>
    <w:rsid w:val="00433602"/>
    <w:rsid w:val="00440379"/>
    <w:rsid w:val="004405A9"/>
    <w:rsid w:val="00441393"/>
    <w:rsid w:val="00447CF0"/>
    <w:rsid w:val="00452266"/>
    <w:rsid w:val="004541FB"/>
    <w:rsid w:val="00456F10"/>
    <w:rsid w:val="0046369E"/>
    <w:rsid w:val="00474746"/>
    <w:rsid w:val="00476942"/>
    <w:rsid w:val="00477027"/>
    <w:rsid w:val="00477D6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6D3F"/>
    <w:rsid w:val="004E0BBB"/>
    <w:rsid w:val="004E1D57"/>
    <w:rsid w:val="004E2F16"/>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301FB"/>
    <w:rsid w:val="0053154C"/>
    <w:rsid w:val="00531DD5"/>
    <w:rsid w:val="00534F34"/>
    <w:rsid w:val="0053692E"/>
    <w:rsid w:val="005378A6"/>
    <w:rsid w:val="00547837"/>
    <w:rsid w:val="00552EA6"/>
    <w:rsid w:val="00557337"/>
    <w:rsid w:val="00557434"/>
    <w:rsid w:val="00560E61"/>
    <w:rsid w:val="00563BA5"/>
    <w:rsid w:val="00576D38"/>
    <w:rsid w:val="00577542"/>
    <w:rsid w:val="005805D2"/>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553C"/>
    <w:rsid w:val="00685F34"/>
    <w:rsid w:val="00690355"/>
    <w:rsid w:val="00691919"/>
    <w:rsid w:val="00695656"/>
    <w:rsid w:val="006965E3"/>
    <w:rsid w:val="006975A8"/>
    <w:rsid w:val="00697656"/>
    <w:rsid w:val="006A1012"/>
    <w:rsid w:val="006C1376"/>
    <w:rsid w:val="006C251E"/>
    <w:rsid w:val="006C48F9"/>
    <w:rsid w:val="006C7032"/>
    <w:rsid w:val="006D30C4"/>
    <w:rsid w:val="006E0E7D"/>
    <w:rsid w:val="006E1079"/>
    <w:rsid w:val="006E10BF"/>
    <w:rsid w:val="006F1C14"/>
    <w:rsid w:val="006F6A16"/>
    <w:rsid w:val="007014AB"/>
    <w:rsid w:val="00703A6A"/>
    <w:rsid w:val="00714A94"/>
    <w:rsid w:val="00722236"/>
    <w:rsid w:val="00725CCA"/>
    <w:rsid w:val="0072729F"/>
    <w:rsid w:val="0072737A"/>
    <w:rsid w:val="007311E7"/>
    <w:rsid w:val="00731DEE"/>
    <w:rsid w:val="00734BC6"/>
    <w:rsid w:val="00735634"/>
    <w:rsid w:val="007427B2"/>
    <w:rsid w:val="007429EA"/>
    <w:rsid w:val="00752C54"/>
    <w:rsid w:val="007541D3"/>
    <w:rsid w:val="00756ACD"/>
    <w:rsid w:val="007577D7"/>
    <w:rsid w:val="007578D8"/>
    <w:rsid w:val="007616F9"/>
    <w:rsid w:val="0076781A"/>
    <w:rsid w:val="00770F38"/>
    <w:rsid w:val="007715E8"/>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6ED"/>
    <w:rsid w:val="007D5895"/>
    <w:rsid w:val="007D77AB"/>
    <w:rsid w:val="007E28D0"/>
    <w:rsid w:val="007E30DF"/>
    <w:rsid w:val="007E3859"/>
    <w:rsid w:val="007F7544"/>
    <w:rsid w:val="00800995"/>
    <w:rsid w:val="00812EAA"/>
    <w:rsid w:val="00816F79"/>
    <w:rsid w:val="008172F8"/>
    <w:rsid w:val="00825873"/>
    <w:rsid w:val="0082599E"/>
    <w:rsid w:val="008326B2"/>
    <w:rsid w:val="00833855"/>
    <w:rsid w:val="00837DBD"/>
    <w:rsid w:val="008403D9"/>
    <w:rsid w:val="00846831"/>
    <w:rsid w:val="00851F87"/>
    <w:rsid w:val="00852169"/>
    <w:rsid w:val="00865532"/>
    <w:rsid w:val="00867686"/>
    <w:rsid w:val="008737D3"/>
    <w:rsid w:val="008747E0"/>
    <w:rsid w:val="00876841"/>
    <w:rsid w:val="00882B3C"/>
    <w:rsid w:val="0088783D"/>
    <w:rsid w:val="008940C8"/>
    <w:rsid w:val="0089476E"/>
    <w:rsid w:val="008972C3"/>
    <w:rsid w:val="008A0C79"/>
    <w:rsid w:val="008A28D9"/>
    <w:rsid w:val="008A30BA"/>
    <w:rsid w:val="008A5FC6"/>
    <w:rsid w:val="008C314A"/>
    <w:rsid w:val="008C33B5"/>
    <w:rsid w:val="008C3A72"/>
    <w:rsid w:val="008C6969"/>
    <w:rsid w:val="008D1B75"/>
    <w:rsid w:val="008D29F3"/>
    <w:rsid w:val="008D3883"/>
    <w:rsid w:val="008E1F69"/>
    <w:rsid w:val="008E76B1"/>
    <w:rsid w:val="008F0224"/>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D23CC"/>
    <w:rsid w:val="009D25B8"/>
    <w:rsid w:val="009D26AB"/>
    <w:rsid w:val="009D2B17"/>
    <w:rsid w:val="009E16EC"/>
    <w:rsid w:val="009E433C"/>
    <w:rsid w:val="009E4A4D"/>
    <w:rsid w:val="009E6578"/>
    <w:rsid w:val="009E7640"/>
    <w:rsid w:val="009F081F"/>
    <w:rsid w:val="009F5C4B"/>
    <w:rsid w:val="009F6CEA"/>
    <w:rsid w:val="00A01F94"/>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64C4"/>
    <w:rsid w:val="00AB76B7"/>
    <w:rsid w:val="00AC33A2"/>
    <w:rsid w:val="00AD38F7"/>
    <w:rsid w:val="00AE5A3D"/>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042"/>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57CD1"/>
    <w:rsid w:val="00C61E62"/>
    <w:rsid w:val="00C6211D"/>
    <w:rsid w:val="00C65492"/>
    <w:rsid w:val="00C70732"/>
    <w:rsid w:val="00C716E5"/>
    <w:rsid w:val="00C773D9"/>
    <w:rsid w:val="00C80307"/>
    <w:rsid w:val="00C80ACE"/>
    <w:rsid w:val="00C81162"/>
    <w:rsid w:val="00C83258"/>
    <w:rsid w:val="00C83666"/>
    <w:rsid w:val="00C870B5"/>
    <w:rsid w:val="00C878A7"/>
    <w:rsid w:val="00C907DF"/>
    <w:rsid w:val="00C90F14"/>
    <w:rsid w:val="00C91630"/>
    <w:rsid w:val="00C9558A"/>
    <w:rsid w:val="00C966EB"/>
    <w:rsid w:val="00CA04B1"/>
    <w:rsid w:val="00CA2DFC"/>
    <w:rsid w:val="00CA3A20"/>
    <w:rsid w:val="00CA4EC9"/>
    <w:rsid w:val="00CB03D4"/>
    <w:rsid w:val="00CB0617"/>
    <w:rsid w:val="00CB08B6"/>
    <w:rsid w:val="00CB137B"/>
    <w:rsid w:val="00CB60C7"/>
    <w:rsid w:val="00CB7460"/>
    <w:rsid w:val="00CC35EF"/>
    <w:rsid w:val="00CC5048"/>
    <w:rsid w:val="00CC6246"/>
    <w:rsid w:val="00CD384C"/>
    <w:rsid w:val="00CD5FD2"/>
    <w:rsid w:val="00CE3C43"/>
    <w:rsid w:val="00CE5860"/>
    <w:rsid w:val="00CE5E46"/>
    <w:rsid w:val="00CF3562"/>
    <w:rsid w:val="00CF49CC"/>
    <w:rsid w:val="00CF54C2"/>
    <w:rsid w:val="00D00232"/>
    <w:rsid w:val="00D04F0B"/>
    <w:rsid w:val="00D07384"/>
    <w:rsid w:val="00D1463A"/>
    <w:rsid w:val="00D16A42"/>
    <w:rsid w:val="00D172E9"/>
    <w:rsid w:val="00D24632"/>
    <w:rsid w:val="00D252C9"/>
    <w:rsid w:val="00D32DDF"/>
    <w:rsid w:val="00D347A4"/>
    <w:rsid w:val="00D3700C"/>
    <w:rsid w:val="00D4573B"/>
    <w:rsid w:val="00D57CCD"/>
    <w:rsid w:val="00D638E0"/>
    <w:rsid w:val="00D653B1"/>
    <w:rsid w:val="00D74AE1"/>
    <w:rsid w:val="00D75D42"/>
    <w:rsid w:val="00D769AC"/>
    <w:rsid w:val="00D80B20"/>
    <w:rsid w:val="00D86166"/>
    <w:rsid w:val="00D865A8"/>
    <w:rsid w:val="00D876DD"/>
    <w:rsid w:val="00D9012A"/>
    <w:rsid w:val="00D92C2D"/>
    <w:rsid w:val="00D9361E"/>
    <w:rsid w:val="00D94F38"/>
    <w:rsid w:val="00D97453"/>
    <w:rsid w:val="00D97A16"/>
    <w:rsid w:val="00DA17CD"/>
    <w:rsid w:val="00DB25B3"/>
    <w:rsid w:val="00DD041E"/>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4107A"/>
    <w:rsid w:val="00E4156E"/>
    <w:rsid w:val="00E42A94"/>
    <w:rsid w:val="00E43E53"/>
    <w:rsid w:val="00E44826"/>
    <w:rsid w:val="00E451BA"/>
    <w:rsid w:val="00E454B5"/>
    <w:rsid w:val="00E458BF"/>
    <w:rsid w:val="00E47DB8"/>
    <w:rsid w:val="00E47FD8"/>
    <w:rsid w:val="00E54BFB"/>
    <w:rsid w:val="00E54CD7"/>
    <w:rsid w:val="00E61DB8"/>
    <w:rsid w:val="00E706E7"/>
    <w:rsid w:val="00E818AD"/>
    <w:rsid w:val="00E84229"/>
    <w:rsid w:val="00E84965"/>
    <w:rsid w:val="00E90E4E"/>
    <w:rsid w:val="00E923E1"/>
    <w:rsid w:val="00E9391E"/>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FFC"/>
    <w:rsid w:val="00F41AAF"/>
    <w:rsid w:val="00F41F0B"/>
    <w:rsid w:val="00F45239"/>
    <w:rsid w:val="00F527AC"/>
    <w:rsid w:val="00F5503F"/>
    <w:rsid w:val="00F61D83"/>
    <w:rsid w:val="00F65DD1"/>
    <w:rsid w:val="00F707B3"/>
    <w:rsid w:val="00F71135"/>
    <w:rsid w:val="00F741FE"/>
    <w:rsid w:val="00F74309"/>
    <w:rsid w:val="00F7793E"/>
    <w:rsid w:val="00F8172E"/>
    <w:rsid w:val="00F82C35"/>
    <w:rsid w:val="00F90461"/>
    <w:rsid w:val="00F92765"/>
    <w:rsid w:val="00F93E14"/>
    <w:rsid w:val="00FA312E"/>
    <w:rsid w:val="00FA370D"/>
    <w:rsid w:val="00FA66F1"/>
    <w:rsid w:val="00FB45A9"/>
    <w:rsid w:val="00FC06AF"/>
    <w:rsid w:val="00FC1274"/>
    <w:rsid w:val="00FC378B"/>
    <w:rsid w:val="00FC3977"/>
    <w:rsid w:val="00FD2566"/>
    <w:rsid w:val="00FD2F16"/>
    <w:rsid w:val="00FD6065"/>
    <w:rsid w:val="00FD6084"/>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RAN" TargetMode="External"/><Relationship Id="rId39" Type="http://schemas.openxmlformats.org/officeDocument/2006/relationships/header" Target="header10.xml"/><Relationship Id="rId21" Type="http://schemas.openxmlformats.org/officeDocument/2006/relationships/header" Target="header7.xml"/><Relationship Id="rId34" Type="http://schemas.microsoft.com/office/2016/09/relationships/commentsIds" Target="commentsIds.xml"/><Relationship Id="rId42"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jpeg"/><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comments" Target="comments.xml"/><Relationship Id="rId37" Type="http://schemas.openxmlformats.org/officeDocument/2006/relationships/hyperlink" Target="https://www.3gpp.org/about-3gpp/about-3gpp"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specifications-group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mo.org/en/About/strategy/Pages/default.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3gpp.org/SA" TargetMode="External"/><Relationship Id="rId30" Type="http://schemas.openxmlformats.org/officeDocument/2006/relationships/hyperlink" Target="https://www.3gpp.org/rubrique34" TargetMode="External"/><Relationship Id="rId35" Type="http://schemas.openxmlformats.org/officeDocument/2006/relationships/hyperlink" Target="http://en.wikipedia.org/wiki/1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3gpp.org/Partners" TargetMode="External"/><Relationship Id="rId33" Type="http://schemas.microsoft.com/office/2011/relationships/commentsExtended" Target="commentsExtended.xml"/><Relationship Id="rId38" Type="http://schemas.openxmlformats.org/officeDocument/2006/relationships/hyperlink" Target="https://e-navap.org/attach/%5bENUW%20AP%202020%5d%20Programme%20Book.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FB740-768C-4365-8B1B-0F4E653E52F5}"/>
</file>

<file path=customXml/itemProps2.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2021-03-22T16:12:00Z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