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76D0ACD6" w:rsidR="00420A38" w:rsidRPr="002F4960" w:rsidRDefault="00420A38" w:rsidP="000049D8">
      <w:pPr>
        <w:pStyle w:val="Header"/>
        <w:tabs>
          <w:tab w:val="clear" w:pos="9639"/>
          <w:tab w:val="right" w:pos="5954"/>
        </w:tabs>
        <w:spacing w:after="240"/>
        <w:jc w:val="right"/>
        <w:rPr>
          <w:rFonts w:ascii="Calibri" w:hAnsi="Calibri"/>
          <w:lang w:val="en-US"/>
        </w:rPr>
      </w:pPr>
      <w:r w:rsidRPr="002F4960">
        <w:rPr>
          <w:rFonts w:ascii="Calibri" w:hAnsi="Calibri"/>
          <w:lang w:val="en-US"/>
        </w:rPr>
        <w:t>Input paper</w:t>
      </w:r>
      <w:r w:rsidR="00037DF4" w:rsidRPr="002F4960">
        <w:rPr>
          <w:rFonts w:ascii="Calibri" w:hAnsi="Calibri"/>
          <w:lang w:val="en-US"/>
        </w:rPr>
        <w:t xml:space="preserve">: </w:t>
      </w:r>
      <w:r w:rsidRPr="007A395D">
        <w:rPr>
          <w:rStyle w:val="FootnoteReference"/>
          <w:rFonts w:ascii="Calibri" w:hAnsi="Calibri"/>
          <w:sz w:val="22"/>
          <w:vertAlign w:val="superscript"/>
        </w:rPr>
        <w:footnoteReference w:id="1"/>
      </w:r>
      <w:r w:rsidR="000049D8" w:rsidRPr="002F4960">
        <w:rPr>
          <w:rFonts w:ascii="Calibri" w:hAnsi="Calibri"/>
          <w:lang w:val="en-US"/>
        </w:rPr>
        <w:t xml:space="preserve">  </w:t>
      </w:r>
      <w:r w:rsidR="00A765EA">
        <w:rPr>
          <w:rFonts w:ascii="Calibri" w:hAnsi="Calibri"/>
          <w:lang w:val="en-US"/>
        </w:rPr>
        <w:t>ARM</w:t>
      </w:r>
      <w:r w:rsidR="00212404">
        <w:rPr>
          <w:rFonts w:ascii="Calibri" w:hAnsi="Calibri"/>
          <w:lang w:val="en-US"/>
        </w:rPr>
        <w:t>11</w:t>
      </w:r>
      <w:r w:rsidRPr="002F4960">
        <w:rPr>
          <w:rFonts w:ascii="Calibri" w:hAnsi="Calibri"/>
          <w:lang w:val="en-US"/>
        </w:rPr>
        <w:t>-</w:t>
      </w:r>
      <w:r w:rsidR="00212404">
        <w:rPr>
          <w:rFonts w:ascii="Calibri" w:hAnsi="Calibri"/>
          <w:lang w:val="en-US"/>
        </w:rPr>
        <w:t>9.6</w:t>
      </w:r>
    </w:p>
    <w:p w14:paraId="5A14DE03" w14:textId="77777777" w:rsidR="00BF32F0" w:rsidRPr="002F4960" w:rsidRDefault="00BF32F0" w:rsidP="00F36489">
      <w:pPr>
        <w:pStyle w:val="BodyText"/>
        <w:rPr>
          <w:lang w:val="en-US"/>
        </w:rPr>
      </w:pPr>
    </w:p>
    <w:p w14:paraId="22E94D0E" w14:textId="77777777" w:rsidR="00D019CE" w:rsidRPr="002F4960" w:rsidRDefault="00D019CE" w:rsidP="00F36489">
      <w:pPr>
        <w:pStyle w:val="BodyText"/>
        <w:rPr>
          <w:lang w:val="en-US"/>
        </w:rPr>
      </w:pPr>
    </w:p>
    <w:p w14:paraId="370CFB53" w14:textId="0056C39C" w:rsidR="0080294B" w:rsidRPr="00D7137B" w:rsidRDefault="00E558C3" w:rsidP="00F36489">
      <w:pPr>
        <w:pStyle w:val="BodyText"/>
        <w:rPr>
          <w:lang w:val="en-US"/>
        </w:rPr>
      </w:pPr>
      <w:r w:rsidRPr="00D7137B">
        <w:rPr>
          <w:lang w:val="en-US"/>
        </w:rPr>
        <w:t xml:space="preserve">Input paper for the following Committee(s): </w:t>
      </w:r>
      <w:r w:rsidRPr="00D7137B">
        <w:rPr>
          <w:lang w:val="en-US"/>
        </w:rPr>
        <w:tab/>
      </w:r>
      <w:r w:rsidRPr="00D7137B">
        <w:rPr>
          <w:sz w:val="18"/>
          <w:szCs w:val="18"/>
          <w:lang w:val="en-US"/>
        </w:rPr>
        <w:t>check as appropriate</w:t>
      </w:r>
      <w:r w:rsidRPr="00D7137B">
        <w:rPr>
          <w:sz w:val="18"/>
          <w:szCs w:val="18"/>
          <w:lang w:val="en-US"/>
        </w:rPr>
        <w:tab/>
      </w:r>
      <w:r w:rsidRPr="00D7137B">
        <w:rPr>
          <w:lang w:val="en-US"/>
        </w:rPr>
        <w:tab/>
        <w:t>Purpose of paper:</w:t>
      </w:r>
    </w:p>
    <w:p w14:paraId="78786733" w14:textId="158CB1A3" w:rsidR="0080294B" w:rsidRPr="00D7137B" w:rsidRDefault="00185001" w:rsidP="00F36489">
      <w:pPr>
        <w:pStyle w:val="BodyText"/>
        <w:rPr>
          <w:b/>
          <w:lang w:val="en-US"/>
        </w:rPr>
      </w:pPr>
      <w:r>
        <w:rPr>
          <w:b/>
        </w:rPr>
        <w:t>X</w:t>
      </w:r>
      <w:r w:rsidR="0080294B" w:rsidRPr="00D7137B">
        <w:rPr>
          <w:lang w:val="en-US"/>
        </w:rPr>
        <w:t xml:space="preserve">  ARM</w:t>
      </w:r>
      <w:r w:rsidR="00037DF4" w:rsidRPr="00D7137B">
        <w:rPr>
          <w:lang w:val="en-US"/>
        </w:rPr>
        <w:tab/>
      </w:r>
      <w:r w:rsidR="00127DB0" w:rsidRPr="00D7137B">
        <w:rPr>
          <w:lang w:val="en-US"/>
        </w:rPr>
        <w:tab/>
      </w:r>
      <w:r w:rsidR="0080294B" w:rsidRPr="00D7137B">
        <w:rPr>
          <w:b/>
          <w:lang w:val="en-US"/>
        </w:rPr>
        <w:t>□</w:t>
      </w:r>
      <w:r w:rsidR="0080294B" w:rsidRPr="00D7137B">
        <w:rPr>
          <w:lang w:val="en-US"/>
        </w:rPr>
        <w:t xml:space="preserve">  ENG</w:t>
      </w:r>
      <w:r w:rsidR="0080294B" w:rsidRPr="00D7137B">
        <w:rPr>
          <w:lang w:val="en-US"/>
        </w:rPr>
        <w:tab/>
      </w:r>
      <w:r w:rsidR="0080294B" w:rsidRPr="00D7137B">
        <w:rPr>
          <w:lang w:val="en-US"/>
        </w:rPr>
        <w:tab/>
      </w:r>
      <w:r w:rsidR="0080294B" w:rsidRPr="00D7137B">
        <w:rPr>
          <w:b/>
          <w:lang w:val="en-US"/>
        </w:rPr>
        <w:t>□</w:t>
      </w:r>
      <w:r w:rsidR="0080294B" w:rsidRPr="00D7137B">
        <w:rPr>
          <w:lang w:val="en-US"/>
        </w:rPr>
        <w:t xml:space="preserve">  PAP</w:t>
      </w:r>
      <w:r w:rsidR="0080294B" w:rsidRPr="00D7137B">
        <w:rPr>
          <w:lang w:val="en-US"/>
        </w:rPr>
        <w:tab/>
      </w:r>
      <w:r w:rsidR="0080294B" w:rsidRPr="00D7137B">
        <w:rPr>
          <w:lang w:val="en-US"/>
        </w:rPr>
        <w:tab/>
      </w:r>
      <w:r w:rsidR="00037DF4" w:rsidRPr="00D7137B">
        <w:rPr>
          <w:lang w:val="en-US"/>
        </w:rPr>
        <w:tab/>
      </w:r>
      <w:r w:rsidR="00037DF4" w:rsidRPr="00D7137B">
        <w:rPr>
          <w:lang w:val="en-US"/>
        </w:rPr>
        <w:tab/>
      </w:r>
      <w:r w:rsidR="00037DF4" w:rsidRPr="00D7137B">
        <w:rPr>
          <w:lang w:val="en-US"/>
        </w:rPr>
        <w:tab/>
      </w:r>
      <w:r w:rsidR="00127DB0" w:rsidRPr="00D7137B">
        <w:rPr>
          <w:lang w:val="en-US"/>
        </w:rPr>
        <w:tab/>
      </w:r>
      <w:r w:rsidR="0080294B" w:rsidRPr="00D7137B">
        <w:rPr>
          <w:b/>
          <w:lang w:val="en-US"/>
        </w:rPr>
        <w:t>□</w:t>
      </w:r>
      <w:r w:rsidR="0080294B" w:rsidRPr="00D7137B">
        <w:rPr>
          <w:lang w:val="en-US"/>
        </w:rPr>
        <w:t xml:space="preserve">  Input</w:t>
      </w:r>
    </w:p>
    <w:p w14:paraId="0BC79547" w14:textId="060859C9" w:rsidR="0080294B" w:rsidRPr="00D7137B" w:rsidRDefault="00946CC3" w:rsidP="00F36489">
      <w:pPr>
        <w:pStyle w:val="BodyText"/>
        <w:rPr>
          <w:lang w:val="en-US"/>
        </w:rPr>
      </w:pPr>
      <w:r w:rsidRPr="00D7137B">
        <w:rPr>
          <w:b/>
          <w:lang w:val="en-US"/>
        </w:rPr>
        <w:t>□</w:t>
      </w:r>
      <w:r w:rsidR="0080294B" w:rsidRPr="00D7137B">
        <w:rPr>
          <w:lang w:val="en-US"/>
        </w:rPr>
        <w:t xml:space="preserve">  ENAV</w:t>
      </w:r>
      <w:r w:rsidR="0080294B" w:rsidRPr="00D7137B">
        <w:rPr>
          <w:b/>
          <w:lang w:val="en-US"/>
        </w:rPr>
        <w:tab/>
        <w:t>□</w:t>
      </w:r>
      <w:r w:rsidR="0080294B" w:rsidRPr="00D7137B">
        <w:rPr>
          <w:lang w:val="en-US"/>
        </w:rPr>
        <w:t xml:space="preserve">  </w:t>
      </w:r>
      <w:r w:rsidR="003D2DC1" w:rsidRPr="00D7137B">
        <w:rPr>
          <w:lang w:val="en-US"/>
        </w:rPr>
        <w:t>VTS</w:t>
      </w:r>
      <w:r w:rsidR="0080294B" w:rsidRPr="00D7137B">
        <w:rPr>
          <w:lang w:val="en-US"/>
        </w:rPr>
        <w:tab/>
      </w:r>
      <w:r w:rsidR="0080294B" w:rsidRPr="00D7137B">
        <w:rPr>
          <w:lang w:val="en-US"/>
        </w:rPr>
        <w:tab/>
      </w:r>
      <w:r w:rsidR="0080294B" w:rsidRPr="00D7137B">
        <w:rPr>
          <w:lang w:val="en-US"/>
        </w:rPr>
        <w:tab/>
      </w:r>
      <w:r w:rsidR="0080294B" w:rsidRPr="00D7137B">
        <w:rPr>
          <w:lang w:val="en-US"/>
        </w:rPr>
        <w:tab/>
      </w:r>
      <w:r w:rsidR="0080294B" w:rsidRPr="00D7137B">
        <w:rPr>
          <w:lang w:val="en-US"/>
        </w:rPr>
        <w:tab/>
      </w:r>
      <w:r w:rsidR="00037DF4" w:rsidRPr="00D7137B">
        <w:rPr>
          <w:lang w:val="en-US"/>
        </w:rPr>
        <w:tab/>
      </w:r>
      <w:r w:rsidR="00037DF4" w:rsidRPr="00D7137B">
        <w:rPr>
          <w:lang w:val="en-US"/>
        </w:rPr>
        <w:tab/>
      </w:r>
      <w:r w:rsidR="00127DB0" w:rsidRPr="00D7137B">
        <w:rPr>
          <w:lang w:val="en-US"/>
        </w:rPr>
        <w:tab/>
      </w:r>
      <w:r w:rsidR="00185001">
        <w:rPr>
          <w:b/>
        </w:rPr>
        <w:t xml:space="preserve">X  </w:t>
      </w:r>
      <w:r w:rsidR="0080294B" w:rsidRPr="00D7137B">
        <w:rPr>
          <w:lang w:val="en-US"/>
        </w:rPr>
        <w:t>Information</w:t>
      </w:r>
    </w:p>
    <w:p w14:paraId="3E1C02C4" w14:textId="77777777" w:rsidR="0080294B" w:rsidRPr="00D7137B" w:rsidRDefault="0080294B" w:rsidP="00F36489">
      <w:pPr>
        <w:pStyle w:val="BodyText"/>
        <w:rPr>
          <w:lang w:val="en-US"/>
        </w:rPr>
      </w:pPr>
    </w:p>
    <w:p w14:paraId="4DD25FD9" w14:textId="6F2C9167" w:rsidR="00A446C9" w:rsidRPr="00D7137B" w:rsidRDefault="00A446C9" w:rsidP="00F36489">
      <w:pPr>
        <w:pStyle w:val="BodyText"/>
        <w:rPr>
          <w:lang w:val="en-US"/>
        </w:rPr>
      </w:pPr>
      <w:r w:rsidRPr="00D7137B">
        <w:rPr>
          <w:lang w:val="en-US"/>
        </w:rPr>
        <w:t>Agenda item</w:t>
      </w:r>
      <w:r w:rsidR="00037DF4" w:rsidRPr="00D7137B">
        <w:rPr>
          <w:lang w:val="en-US"/>
        </w:rPr>
        <w:t xml:space="preserve"> </w:t>
      </w:r>
      <w:r w:rsidR="00037DF4" w:rsidRPr="007A395D">
        <w:rPr>
          <w:rStyle w:val="FootnoteReference"/>
          <w:rFonts w:ascii="Calibri" w:hAnsi="Calibri"/>
          <w:sz w:val="22"/>
          <w:vertAlign w:val="superscript"/>
        </w:rPr>
        <w:footnoteReference w:id="2"/>
      </w:r>
      <w:r w:rsidR="001C44A3" w:rsidRPr="00D7137B">
        <w:rPr>
          <w:lang w:val="en-US"/>
        </w:rPr>
        <w:tab/>
      </w:r>
      <w:r w:rsidR="00CC2DCC" w:rsidRPr="00D7137B">
        <w:rPr>
          <w:lang w:val="en-US"/>
        </w:rPr>
        <w:t>(from agenda)</w:t>
      </w:r>
      <w:r w:rsidR="00CC2DCC" w:rsidRPr="00D7137B">
        <w:rPr>
          <w:lang w:val="en-US"/>
        </w:rPr>
        <w:tab/>
      </w:r>
      <w:r w:rsidR="0080294B" w:rsidRPr="00D7137B">
        <w:rPr>
          <w:lang w:val="en-US"/>
        </w:rPr>
        <w:tab/>
      </w:r>
      <w:r w:rsidR="0080294B" w:rsidRPr="00D7137B">
        <w:rPr>
          <w:lang w:val="en-US"/>
        </w:rPr>
        <w:tab/>
      </w:r>
      <w:r w:rsidR="00FB3932">
        <w:rPr>
          <w:lang w:val="en-US"/>
        </w:rPr>
        <w:tab/>
      </w:r>
      <w:r w:rsidR="008217EB">
        <w:rPr>
          <w:lang w:val="en-US"/>
        </w:rPr>
        <w:t>9</w:t>
      </w:r>
    </w:p>
    <w:p w14:paraId="6CFA6142" w14:textId="1FFFC404" w:rsidR="00677FAA" w:rsidRPr="00D7137B" w:rsidRDefault="00677FAA" w:rsidP="00677FAA">
      <w:pPr>
        <w:pStyle w:val="BodyText"/>
        <w:rPr>
          <w:lang w:val="en-US"/>
        </w:rPr>
      </w:pPr>
      <w:r w:rsidRPr="00D7137B">
        <w:rPr>
          <w:lang w:val="en-US"/>
        </w:rPr>
        <w:t xml:space="preserve">Workplan Task Number / Technical Domain </w:t>
      </w:r>
      <w:r w:rsidRPr="00D7137B">
        <w:rPr>
          <w:vertAlign w:val="superscript"/>
          <w:lang w:val="en-US"/>
        </w:rPr>
        <w:t>2</w:t>
      </w:r>
      <w:r w:rsidRPr="00D7137B">
        <w:rPr>
          <w:lang w:val="en-US"/>
        </w:rPr>
        <w:tab/>
        <w:t>…………………………………</w:t>
      </w:r>
    </w:p>
    <w:p w14:paraId="5C721796" w14:textId="46DBE9BE" w:rsidR="00677FAA" w:rsidRPr="00D7137B" w:rsidRDefault="00677FAA" w:rsidP="00677FAA">
      <w:pPr>
        <w:pStyle w:val="BodyText"/>
        <w:rPr>
          <w:lang w:val="en-US"/>
        </w:rPr>
      </w:pPr>
      <w:r w:rsidRPr="00D7137B">
        <w:rPr>
          <w:lang w:val="en-US"/>
        </w:rPr>
        <w:t>Working Group</w:t>
      </w:r>
      <w:r w:rsidRPr="00D7137B">
        <w:rPr>
          <w:lang w:val="en-US"/>
        </w:rPr>
        <w:tab/>
      </w:r>
      <w:r w:rsidRPr="00D7137B">
        <w:rPr>
          <w:lang w:val="en-US"/>
        </w:rPr>
        <w:tab/>
      </w:r>
      <w:r w:rsidRPr="00D7137B">
        <w:rPr>
          <w:lang w:val="en-US"/>
        </w:rPr>
        <w:tab/>
      </w:r>
      <w:r w:rsidRPr="00D7137B">
        <w:rPr>
          <w:lang w:val="en-US"/>
        </w:rPr>
        <w:tab/>
      </w:r>
      <w:r w:rsidRPr="00D7137B">
        <w:rPr>
          <w:lang w:val="en-US"/>
        </w:rPr>
        <w:tab/>
      </w:r>
      <w:r w:rsidR="00CC2DCC" w:rsidRPr="00D7137B">
        <w:rPr>
          <w:lang w:val="en-US"/>
        </w:rPr>
        <w:t xml:space="preserve">WG </w:t>
      </w:r>
      <w:r w:rsidR="00A14383">
        <w:rPr>
          <w:lang w:val="en-US"/>
        </w:rPr>
        <w:t>2</w:t>
      </w:r>
      <w:r w:rsidR="00CC2DCC" w:rsidRPr="00D7137B">
        <w:rPr>
          <w:lang w:val="en-US"/>
        </w:rPr>
        <w:t xml:space="preserve"> </w:t>
      </w:r>
      <w:r w:rsidRPr="00D7137B">
        <w:rPr>
          <w:lang w:val="en-US"/>
        </w:rPr>
        <w:t>…………………………</w:t>
      </w:r>
    </w:p>
    <w:p w14:paraId="60BCC120" w14:textId="7F36C926" w:rsidR="0080294B" w:rsidRPr="000D0361" w:rsidRDefault="00362CD9" w:rsidP="008B5740">
      <w:pPr>
        <w:pStyle w:val="BodyText"/>
        <w:jc w:val="left"/>
        <w:rPr>
          <w:lang w:val="en-US"/>
        </w:rPr>
      </w:pPr>
      <w:r w:rsidRPr="000D0361">
        <w:rPr>
          <w:lang w:val="en-US"/>
        </w:rPr>
        <w:t>Author(s)</w:t>
      </w:r>
      <w:r w:rsidR="00FE5674" w:rsidRPr="000D0361">
        <w:rPr>
          <w:lang w:val="en-US"/>
        </w:rPr>
        <w:t xml:space="preserve"> / Submitter(s)</w:t>
      </w:r>
      <w:r w:rsidRPr="000D0361">
        <w:rPr>
          <w:lang w:val="en-US"/>
        </w:rPr>
        <w:tab/>
      </w:r>
      <w:r w:rsidR="0080294B" w:rsidRPr="000D0361">
        <w:rPr>
          <w:lang w:val="en-US"/>
        </w:rPr>
        <w:tab/>
      </w:r>
      <w:r w:rsidR="0080294B" w:rsidRPr="000D0361">
        <w:rPr>
          <w:lang w:val="en-US"/>
        </w:rPr>
        <w:tab/>
      </w:r>
      <w:r w:rsidR="00746722" w:rsidRPr="000D0361">
        <w:rPr>
          <w:lang w:val="en-US"/>
        </w:rPr>
        <w:tab/>
      </w:r>
      <w:r w:rsidR="000D0361" w:rsidRPr="000D0361">
        <w:rPr>
          <w:lang w:val="en-US"/>
        </w:rPr>
        <w:t>KRISO</w:t>
      </w:r>
      <w:r w:rsidR="005F54AE">
        <w:rPr>
          <w:lang w:val="en-US"/>
        </w:rPr>
        <w:t xml:space="preserve"> </w:t>
      </w:r>
      <w:r w:rsidR="008B5740">
        <w:rPr>
          <w:lang w:val="en-US"/>
        </w:rPr>
        <w:t xml:space="preserve">/ </w:t>
      </w:r>
      <w:bookmarkStart w:id="0" w:name="_GoBack"/>
      <w:r w:rsidR="008B5740">
        <w:rPr>
          <w:lang w:val="en-US"/>
        </w:rPr>
        <w:t>OFFIS</w:t>
      </w:r>
      <w:bookmarkEnd w:id="0"/>
      <w:r w:rsidR="00754C8A" w:rsidRPr="000D0361">
        <w:rPr>
          <w:lang w:val="en-US"/>
        </w:rPr>
        <w:br/>
      </w:r>
      <w:r w:rsidR="00754C8A" w:rsidRPr="000D0361">
        <w:rPr>
          <w:lang w:val="en-US"/>
        </w:rPr>
        <w:tab/>
      </w:r>
      <w:r w:rsidR="00754C8A" w:rsidRPr="000D0361">
        <w:rPr>
          <w:lang w:val="en-US"/>
        </w:rPr>
        <w:tab/>
      </w:r>
      <w:r w:rsidR="00754C8A" w:rsidRPr="000D0361">
        <w:rPr>
          <w:lang w:val="en-US"/>
        </w:rPr>
        <w:tab/>
      </w:r>
      <w:r w:rsidR="00754C8A" w:rsidRPr="000D0361">
        <w:rPr>
          <w:lang w:val="en-US"/>
        </w:rPr>
        <w:tab/>
      </w:r>
      <w:r w:rsidR="00754C8A" w:rsidRPr="000D0361">
        <w:rPr>
          <w:lang w:val="en-US"/>
        </w:rPr>
        <w:tab/>
      </w:r>
      <w:r w:rsidR="000D0361" w:rsidRPr="000D0361">
        <w:rPr>
          <w:lang w:val="en-US"/>
        </w:rPr>
        <w:tab/>
      </w:r>
      <w:r w:rsidR="00754C8A" w:rsidRPr="000D0361">
        <w:rPr>
          <w:lang w:val="en-US"/>
        </w:rPr>
        <w:tab/>
      </w:r>
    </w:p>
    <w:p w14:paraId="4834080C" w14:textId="1994118A" w:rsidR="00A446C9" w:rsidRPr="00D7137B" w:rsidRDefault="00946CC3" w:rsidP="00F36489">
      <w:pPr>
        <w:pStyle w:val="Title"/>
        <w:rPr>
          <w:color w:val="00558C"/>
          <w:lang w:val="en-US"/>
        </w:rPr>
      </w:pPr>
      <w:r w:rsidRPr="00D7137B">
        <w:rPr>
          <w:color w:val="00558C"/>
          <w:lang w:val="en-US"/>
        </w:rPr>
        <w:t>On the IALA governance of MRN</w:t>
      </w:r>
    </w:p>
    <w:p w14:paraId="0F258596" w14:textId="50FB6E37" w:rsidR="00A446C9" w:rsidRPr="004D4B1B" w:rsidRDefault="00A446C9" w:rsidP="000E5BA9">
      <w:pPr>
        <w:pStyle w:val="Heading1"/>
      </w:pPr>
      <w:r w:rsidRPr="000E5BA9">
        <w:t>Summary</w:t>
      </w:r>
    </w:p>
    <w:p w14:paraId="6F0E6D53" w14:textId="0E96BDB0" w:rsidR="00946CC3" w:rsidRDefault="00946CC3" w:rsidP="00F36489">
      <w:pPr>
        <w:pStyle w:val="BodyText"/>
        <w:rPr>
          <w:bCs/>
          <w:lang w:val="en-US"/>
        </w:rPr>
      </w:pPr>
      <w:r w:rsidRPr="00D7137B">
        <w:rPr>
          <w:bCs/>
          <w:lang w:val="en-US"/>
        </w:rPr>
        <w:t>On its 65</w:t>
      </w:r>
      <w:r w:rsidRPr="00D7137B">
        <w:rPr>
          <w:bCs/>
          <w:vertAlign w:val="superscript"/>
          <w:lang w:val="en-US"/>
        </w:rPr>
        <w:t>th</w:t>
      </w:r>
      <w:r w:rsidRPr="00D7137B">
        <w:rPr>
          <w:bCs/>
          <w:lang w:val="en-US"/>
        </w:rPr>
        <w:t xml:space="preserve"> session, the IALA council adopted the proposal to obtain and manage the ‘MRN’ domain of URN (</w:t>
      </w:r>
      <w:r w:rsidRPr="00946CC3">
        <w:rPr>
          <w:rFonts w:eastAsia="Calibri" w:cs="Calibri"/>
          <w:bCs/>
          <w:sz w:val="22"/>
          <w:szCs w:val="22"/>
          <w:lang w:val="en-US" w:eastAsia="en-GB"/>
        </w:rPr>
        <w:t>C65‐11.4.4.1</w:t>
      </w:r>
      <w:r>
        <w:rPr>
          <w:bCs/>
          <w:lang w:val="en-US"/>
        </w:rPr>
        <w:t xml:space="preserve">). Furthermore, the IALA ARM committee </w:t>
      </w:r>
      <w:r w:rsidR="000D0361">
        <w:rPr>
          <w:bCs/>
          <w:lang w:val="en-US"/>
        </w:rPr>
        <w:t>(in collaboration with the ENAV committee) developed</w:t>
      </w:r>
      <w:r>
        <w:rPr>
          <w:bCs/>
          <w:lang w:val="en-US"/>
        </w:rPr>
        <w:t xml:space="preserve"> a guideline relating to MRN; G1143</w:t>
      </w:r>
      <w:r w:rsidR="000D0361">
        <w:rPr>
          <w:bCs/>
          <w:lang w:val="en-US"/>
        </w:rPr>
        <w:t>, which was adopted by council meeting #69. The ARM committee is currently revising G1143, and edition 2 is currently underway.</w:t>
      </w:r>
    </w:p>
    <w:p w14:paraId="153A7957" w14:textId="22BB3C4F" w:rsidR="00F23DCF" w:rsidRDefault="00F23DCF" w:rsidP="00F36489">
      <w:pPr>
        <w:pStyle w:val="BodyText"/>
        <w:rPr>
          <w:bCs/>
          <w:lang w:val="en-US"/>
        </w:rPr>
      </w:pPr>
      <w:r>
        <w:rPr>
          <w:bCs/>
          <w:lang w:val="en-US"/>
        </w:rPr>
        <w:t xml:space="preserve">Recapturing that the MRN syntax is: </w:t>
      </w:r>
    </w:p>
    <w:p w14:paraId="3F468E28" w14:textId="77777777" w:rsidR="00F23DCF" w:rsidRPr="00F23DCF" w:rsidRDefault="00F23DCF" w:rsidP="00F23DCF">
      <w:pPr>
        <w:pStyle w:val="BodyText"/>
        <w:rPr>
          <w:rFonts w:eastAsia="Calibri" w:cs="Calibri"/>
          <w:bCs/>
          <w:sz w:val="22"/>
          <w:szCs w:val="22"/>
          <w:lang w:val="en-US" w:eastAsia="en-GB"/>
        </w:rPr>
      </w:pPr>
      <w:r>
        <w:rPr>
          <w:bCs/>
          <w:lang w:val="en-US"/>
        </w:rPr>
        <w:tab/>
      </w:r>
      <w:r w:rsidRPr="00F23DCF">
        <w:rPr>
          <w:rFonts w:eastAsia="Calibri" w:cs="Calibri"/>
          <w:bCs/>
          <w:sz w:val="22"/>
          <w:szCs w:val="22"/>
          <w:lang w:val="en-US" w:eastAsia="en-GB"/>
        </w:rPr>
        <w:t>&lt;MRN&gt; ::= "urn":"</w:t>
      </w:r>
      <w:proofErr w:type="spellStart"/>
      <w:r w:rsidRPr="00F23DCF">
        <w:rPr>
          <w:rFonts w:eastAsia="Calibri" w:cs="Calibri"/>
          <w:bCs/>
          <w:sz w:val="22"/>
          <w:szCs w:val="22"/>
          <w:lang w:val="en-US" w:eastAsia="en-GB"/>
        </w:rPr>
        <w:t>mrn</w:t>
      </w:r>
      <w:proofErr w:type="spellEnd"/>
      <w:r w:rsidRPr="00F23DCF">
        <w:rPr>
          <w:rFonts w:eastAsia="Calibri" w:cs="Calibri"/>
          <w:bCs/>
          <w:sz w:val="22"/>
          <w:szCs w:val="22"/>
          <w:lang w:val="en-US" w:eastAsia="en-GB"/>
        </w:rPr>
        <w:t>":&lt;OID&gt;:&lt;OSS&gt;</w:t>
      </w:r>
    </w:p>
    <w:p w14:paraId="04056132" w14:textId="1A0A04B9" w:rsidR="00F23DCF" w:rsidRDefault="00F23DCF" w:rsidP="00F36489">
      <w:pPr>
        <w:pStyle w:val="BodyText"/>
        <w:rPr>
          <w:bCs/>
          <w:lang w:val="en-US"/>
        </w:rPr>
      </w:pPr>
      <w:r>
        <w:rPr>
          <w:bCs/>
          <w:lang w:val="en-US"/>
        </w:rPr>
        <w:tab/>
        <w:t xml:space="preserve">Where OID is </w:t>
      </w:r>
      <w:proofErr w:type="spellStart"/>
      <w:r>
        <w:rPr>
          <w:bCs/>
          <w:lang w:val="en-US"/>
        </w:rPr>
        <w:t>Organisation</w:t>
      </w:r>
      <w:proofErr w:type="spellEnd"/>
      <w:r>
        <w:rPr>
          <w:bCs/>
          <w:lang w:val="en-US"/>
        </w:rPr>
        <w:t xml:space="preserve"> ID</w:t>
      </w:r>
    </w:p>
    <w:p w14:paraId="1327A0BB" w14:textId="127FEC0A" w:rsidR="00F23DCF" w:rsidRDefault="00F23DCF" w:rsidP="00F36489">
      <w:pPr>
        <w:pStyle w:val="BodyText"/>
        <w:rPr>
          <w:bCs/>
          <w:lang w:val="en-US"/>
        </w:rPr>
      </w:pPr>
      <w:r>
        <w:rPr>
          <w:bCs/>
          <w:lang w:val="en-US"/>
        </w:rPr>
        <w:tab/>
        <w:t xml:space="preserve">And OSS is </w:t>
      </w:r>
      <w:proofErr w:type="spellStart"/>
      <w:r>
        <w:rPr>
          <w:bCs/>
          <w:lang w:val="en-US"/>
        </w:rPr>
        <w:t>Organisation</w:t>
      </w:r>
      <w:proofErr w:type="spellEnd"/>
      <w:r>
        <w:rPr>
          <w:bCs/>
          <w:lang w:val="en-US"/>
        </w:rPr>
        <w:t xml:space="preserve"> specific string</w:t>
      </w:r>
    </w:p>
    <w:p w14:paraId="31E02209" w14:textId="7E8671D1" w:rsidR="00946CC3" w:rsidRDefault="00946CC3" w:rsidP="00F36489">
      <w:pPr>
        <w:pStyle w:val="BodyText"/>
        <w:rPr>
          <w:bCs/>
          <w:lang w:val="en-US"/>
        </w:rPr>
      </w:pPr>
      <w:r>
        <w:rPr>
          <w:bCs/>
          <w:lang w:val="en-US"/>
        </w:rPr>
        <w:t>With regard to these documents, the authors would like to propose the following:</w:t>
      </w:r>
    </w:p>
    <w:p w14:paraId="010AA9D4" w14:textId="4AAC69CD" w:rsidR="00946CC3" w:rsidRPr="00D7137B" w:rsidRDefault="00946CC3" w:rsidP="00946CC3">
      <w:pPr>
        <w:pStyle w:val="BodyText"/>
        <w:numPr>
          <w:ilvl w:val="0"/>
          <w:numId w:val="49"/>
        </w:numPr>
        <w:rPr>
          <w:bCs/>
          <w:lang w:val="en-US"/>
        </w:rPr>
      </w:pPr>
      <w:r w:rsidRPr="00D7137B">
        <w:rPr>
          <w:bCs/>
          <w:lang w:val="en-US"/>
        </w:rPr>
        <w:t>The guideline G1143 should only be a guideline for how IALA manages the IALA domain within MRN.</w:t>
      </w:r>
    </w:p>
    <w:p w14:paraId="4B538CCA" w14:textId="45FDBBFB" w:rsidR="00946CC3" w:rsidRPr="000D0361" w:rsidRDefault="00946CC3" w:rsidP="000D0361">
      <w:pPr>
        <w:pStyle w:val="BodyText"/>
        <w:numPr>
          <w:ilvl w:val="0"/>
          <w:numId w:val="49"/>
        </w:numPr>
        <w:rPr>
          <w:bCs/>
          <w:lang w:val="en-US"/>
        </w:rPr>
      </w:pPr>
      <w:r w:rsidRPr="000D0361">
        <w:rPr>
          <w:bCs/>
          <w:lang w:val="en-US"/>
        </w:rPr>
        <w:t xml:space="preserve">Regarding the principles for accepting </w:t>
      </w:r>
      <w:proofErr w:type="spellStart"/>
      <w:r w:rsidRPr="000D0361">
        <w:rPr>
          <w:bCs/>
          <w:lang w:val="en-US"/>
        </w:rPr>
        <w:t>organisations</w:t>
      </w:r>
      <w:proofErr w:type="spellEnd"/>
      <w:r w:rsidRPr="000D0361">
        <w:rPr>
          <w:bCs/>
          <w:lang w:val="en-US"/>
        </w:rPr>
        <w:t xml:space="preserve"> to obtain domains under MRN </w:t>
      </w:r>
      <w:r w:rsidR="00F23DCF" w:rsidRPr="000D0361">
        <w:rPr>
          <w:bCs/>
          <w:lang w:val="en-US"/>
        </w:rPr>
        <w:t xml:space="preserve">(OID) </w:t>
      </w:r>
      <w:r w:rsidRPr="000D0361">
        <w:rPr>
          <w:bCs/>
          <w:lang w:val="en-US"/>
        </w:rPr>
        <w:t>from IALA, we would like to propose th</w:t>
      </w:r>
      <w:r w:rsidR="00533883">
        <w:rPr>
          <w:bCs/>
          <w:lang w:val="en-US"/>
        </w:rPr>
        <w:t>at</w:t>
      </w:r>
      <w:r w:rsidRPr="000D0361">
        <w:rPr>
          <w:bCs/>
          <w:lang w:val="en-US"/>
        </w:rPr>
        <w:t xml:space="preserve"> IALA keeps an open policy for this, which we believe is in the “spirit” of the original document (</w:t>
      </w:r>
      <w:r w:rsidRPr="00946CC3">
        <w:rPr>
          <w:rFonts w:eastAsia="Calibri" w:cs="Calibri"/>
          <w:bCs/>
          <w:sz w:val="22"/>
          <w:szCs w:val="22"/>
          <w:lang w:val="en-US" w:eastAsia="en-GB"/>
        </w:rPr>
        <w:t>C65‐11.4.4.1</w:t>
      </w:r>
      <w:r>
        <w:rPr>
          <w:bCs/>
          <w:lang w:val="en-US"/>
        </w:rPr>
        <w:t xml:space="preserve">) </w:t>
      </w:r>
      <w:r w:rsidRPr="000D0361">
        <w:rPr>
          <w:bCs/>
          <w:lang w:val="en-US"/>
        </w:rPr>
        <w:t>adopted by council.</w:t>
      </w:r>
      <w:r w:rsidR="000D0361" w:rsidRPr="000D0361">
        <w:rPr>
          <w:bCs/>
          <w:lang w:val="en-US"/>
        </w:rPr>
        <w:t xml:space="preserve"> This would for instance include the use of</w:t>
      </w:r>
      <w:r w:rsidR="000D0361">
        <w:rPr>
          <w:bCs/>
          <w:lang w:val="en-US"/>
        </w:rPr>
        <w:t xml:space="preserve"> </w:t>
      </w:r>
      <w:r w:rsidRPr="000D0361">
        <w:rPr>
          <w:bCs/>
          <w:lang w:val="en-US"/>
        </w:rPr>
        <w:t xml:space="preserve">country code (following ISO 3166-1 alpha-2) as a possible </w:t>
      </w:r>
      <w:proofErr w:type="spellStart"/>
      <w:r w:rsidRPr="000D0361">
        <w:rPr>
          <w:bCs/>
          <w:lang w:val="en-US"/>
        </w:rPr>
        <w:t>organisation</w:t>
      </w:r>
      <w:proofErr w:type="spellEnd"/>
      <w:r w:rsidRPr="000D0361">
        <w:rPr>
          <w:bCs/>
          <w:lang w:val="en-US"/>
        </w:rPr>
        <w:t xml:space="preserve"> ID (OID).</w:t>
      </w:r>
    </w:p>
    <w:p w14:paraId="74D502B9" w14:textId="68EDE5FE" w:rsidR="00946CC3" w:rsidRPr="000D0361" w:rsidRDefault="00946CC3" w:rsidP="00946CC3">
      <w:pPr>
        <w:pStyle w:val="BodyText"/>
        <w:numPr>
          <w:ilvl w:val="0"/>
          <w:numId w:val="49"/>
        </w:numPr>
        <w:rPr>
          <w:bCs/>
          <w:lang w:val="en-US"/>
        </w:rPr>
      </w:pPr>
      <w:r w:rsidRPr="000D0361">
        <w:rPr>
          <w:bCs/>
          <w:lang w:val="en-US"/>
        </w:rPr>
        <w:t>We would like to propose that the ‘INT’ domain referenced in the draft guideline G1143, should only be used for temporary uses, and that IALA should not try to govern the structure of the ‘INT’ domain.</w:t>
      </w:r>
      <w:r w:rsidR="000D0361" w:rsidRPr="000D0361">
        <w:rPr>
          <w:bCs/>
          <w:lang w:val="en-US"/>
        </w:rPr>
        <w:t xml:space="preserve"> We beli</w:t>
      </w:r>
      <w:r w:rsidR="000D0361">
        <w:rPr>
          <w:bCs/>
          <w:lang w:val="en-US"/>
        </w:rPr>
        <w:t>e</w:t>
      </w:r>
      <w:r w:rsidR="000D0361" w:rsidRPr="000D0361">
        <w:rPr>
          <w:bCs/>
          <w:lang w:val="en-US"/>
        </w:rPr>
        <w:t>ve that the current phrase in the draft edition 2</w:t>
      </w:r>
      <w:r w:rsidR="000D0361">
        <w:rPr>
          <w:bCs/>
          <w:lang w:val="en-US"/>
        </w:rPr>
        <w:t>, “</w:t>
      </w:r>
      <w:r w:rsidR="000D0361" w:rsidRPr="000D0361">
        <w:rPr>
          <w:bCs/>
          <w:lang w:val="en-GB"/>
        </w:rPr>
        <w:t xml:space="preserve">when it </w:t>
      </w:r>
      <w:r w:rsidR="00651B8B">
        <w:rPr>
          <w:bCs/>
          <w:lang w:val="en-GB"/>
        </w:rPr>
        <w:t xml:space="preserve">is </w:t>
      </w:r>
      <w:r w:rsidR="000D0361" w:rsidRPr="000D0361">
        <w:rPr>
          <w:bCs/>
          <w:lang w:val="en-GB"/>
        </w:rPr>
        <w:t xml:space="preserve">impractical to assign </w:t>
      </w:r>
      <w:r w:rsidR="000D0361" w:rsidRPr="000D0361">
        <w:rPr>
          <w:bCs/>
          <w:lang w:val="en-GB"/>
        </w:rPr>
        <w:lastRenderedPageBreak/>
        <w:t>‘</w:t>
      </w:r>
      <w:proofErr w:type="spellStart"/>
      <w:r w:rsidR="000D0361" w:rsidRPr="000D0361">
        <w:rPr>
          <w:bCs/>
          <w:lang w:val="en-GB"/>
        </w:rPr>
        <w:t>iala</w:t>
      </w:r>
      <w:proofErr w:type="spellEnd"/>
      <w:r w:rsidR="000D0361" w:rsidRPr="000D0361">
        <w:rPr>
          <w:bCs/>
          <w:lang w:val="en-GB"/>
        </w:rPr>
        <w:t>’</w:t>
      </w:r>
      <w:r w:rsidR="000D0361">
        <w:rPr>
          <w:bCs/>
          <w:lang w:val="en-GB"/>
        </w:rPr>
        <w:t>”, is very wide, and could potentially open up for a problematic use of the ‘int’ domain. One possible use could be as an example structure for different domains.</w:t>
      </w:r>
    </w:p>
    <w:p w14:paraId="11E6F67B" w14:textId="16BAF87B" w:rsidR="00746722" w:rsidRPr="000D0361" w:rsidRDefault="00946CC3" w:rsidP="00EE1FF6">
      <w:pPr>
        <w:pStyle w:val="BodyText"/>
        <w:numPr>
          <w:ilvl w:val="0"/>
          <w:numId w:val="49"/>
        </w:numPr>
        <w:rPr>
          <w:bCs/>
          <w:lang w:val="en-US"/>
        </w:rPr>
      </w:pPr>
      <w:r w:rsidRPr="000D0361">
        <w:rPr>
          <w:bCs/>
          <w:lang w:val="en-US"/>
        </w:rPr>
        <w:t xml:space="preserve">We believe that </w:t>
      </w:r>
      <w:proofErr w:type="spellStart"/>
      <w:r w:rsidRPr="000D0361">
        <w:rPr>
          <w:bCs/>
          <w:lang w:val="en-US"/>
        </w:rPr>
        <w:t>harmonisation</w:t>
      </w:r>
      <w:proofErr w:type="spellEnd"/>
      <w:r w:rsidRPr="000D0361">
        <w:rPr>
          <w:bCs/>
          <w:lang w:val="en-US"/>
        </w:rPr>
        <w:t xml:space="preserve"> of the structure of different MRN domains could be very beneficial in order to ease interoperability between different systems utilizing MRN. For this </w:t>
      </w:r>
      <w:r w:rsidR="00F23DCF" w:rsidRPr="000D0361">
        <w:rPr>
          <w:bCs/>
          <w:lang w:val="en-US"/>
        </w:rPr>
        <w:t>purpose,</w:t>
      </w:r>
      <w:r w:rsidRPr="000D0361">
        <w:rPr>
          <w:bCs/>
          <w:lang w:val="en-US"/>
        </w:rPr>
        <w:t xml:space="preserve"> we propose that IALA </w:t>
      </w:r>
      <w:r w:rsidR="00F23DCF" w:rsidRPr="000D0361">
        <w:rPr>
          <w:bCs/>
          <w:lang w:val="en-US"/>
        </w:rPr>
        <w:t>will</w:t>
      </w:r>
      <w:r w:rsidRPr="000D0361">
        <w:rPr>
          <w:bCs/>
          <w:lang w:val="en-US"/>
        </w:rPr>
        <w:t xml:space="preserve"> host a forum for MRN domain owners, where the individual MRN structures could be discussed, and </w:t>
      </w:r>
      <w:proofErr w:type="spellStart"/>
      <w:r w:rsidRPr="000D0361">
        <w:rPr>
          <w:bCs/>
          <w:lang w:val="en-US"/>
        </w:rPr>
        <w:t>harmonised</w:t>
      </w:r>
      <w:proofErr w:type="spellEnd"/>
      <w:r w:rsidRPr="000D0361">
        <w:rPr>
          <w:bCs/>
          <w:lang w:val="en-US"/>
        </w:rPr>
        <w:t xml:space="preserve"> if </w:t>
      </w:r>
      <w:r w:rsidR="00F23DCF" w:rsidRPr="000D0361">
        <w:rPr>
          <w:bCs/>
          <w:lang w:val="en-US"/>
        </w:rPr>
        <w:t>deemed beneficial</w:t>
      </w:r>
      <w:r w:rsidRPr="000D0361">
        <w:rPr>
          <w:bCs/>
          <w:lang w:val="en-US"/>
        </w:rPr>
        <w:t>.</w:t>
      </w:r>
      <w:r w:rsidR="000D0361" w:rsidRPr="000D0361">
        <w:rPr>
          <w:bCs/>
          <w:lang w:val="en-US"/>
        </w:rPr>
        <w:t xml:space="preserve"> The ENAV working group ’</w:t>
      </w:r>
      <w:r w:rsidR="000D0361">
        <w:rPr>
          <w:bCs/>
          <w:lang w:val="en-US"/>
        </w:rPr>
        <w:t>D</w:t>
      </w:r>
      <w:r w:rsidR="000D0361" w:rsidRPr="000D0361">
        <w:rPr>
          <w:bCs/>
          <w:lang w:val="en-US"/>
        </w:rPr>
        <w:t xml:space="preserve">igital </w:t>
      </w:r>
      <w:r w:rsidR="000D0361">
        <w:rPr>
          <w:bCs/>
          <w:lang w:val="en-US"/>
        </w:rPr>
        <w:t>I</w:t>
      </w:r>
      <w:r w:rsidR="000D0361" w:rsidRPr="000D0361">
        <w:rPr>
          <w:bCs/>
          <w:lang w:val="en-US"/>
        </w:rPr>
        <w:t xml:space="preserve">nformation </w:t>
      </w:r>
      <w:r w:rsidR="000D0361">
        <w:rPr>
          <w:bCs/>
          <w:lang w:val="en-US"/>
        </w:rPr>
        <w:t>System</w:t>
      </w:r>
      <w:r w:rsidR="000D0361" w:rsidRPr="000D0361">
        <w:rPr>
          <w:bCs/>
          <w:lang w:val="en-US"/>
        </w:rPr>
        <w:t xml:space="preserve">’, could be an </w:t>
      </w:r>
      <w:r w:rsidR="000D0361">
        <w:rPr>
          <w:bCs/>
          <w:lang w:val="en-US"/>
        </w:rPr>
        <w:t>obvious “host” for such a forum.</w:t>
      </w:r>
    </w:p>
    <w:p w14:paraId="29CD1660" w14:textId="37F1C72D" w:rsidR="002F4960" w:rsidRPr="000D0361" w:rsidRDefault="002F4960" w:rsidP="002F4960">
      <w:pPr>
        <w:pStyle w:val="BodyText"/>
        <w:rPr>
          <w:bCs/>
          <w:lang w:val="en-US"/>
        </w:rPr>
      </w:pPr>
      <w:r w:rsidRPr="00D7137B">
        <w:rPr>
          <w:bCs/>
          <w:lang w:val="en-US"/>
        </w:rPr>
        <w:t xml:space="preserve">In addition to this, we have included the guideline for MRN used within the MCP domain as inspiration, background information. </w:t>
      </w:r>
      <w:r w:rsidRPr="000D0361">
        <w:rPr>
          <w:bCs/>
          <w:lang w:val="en-US"/>
        </w:rPr>
        <w:t>This guideline is something that is still being matured by the MCP (Maritime Connectivity Platform) consortium</w:t>
      </w:r>
      <w:r w:rsidR="000D0361">
        <w:rPr>
          <w:bCs/>
          <w:lang w:val="en-US"/>
        </w:rPr>
        <w:t xml:space="preserve"> (www.maritimeconnectivity.net)</w:t>
      </w:r>
      <w:r w:rsidRPr="000D0361">
        <w:rPr>
          <w:bCs/>
          <w:lang w:val="en-US"/>
        </w:rPr>
        <w:t>.</w:t>
      </w:r>
    </w:p>
    <w:p w14:paraId="7A8D2F27" w14:textId="77777777" w:rsidR="00A446C9" w:rsidRPr="000D0361" w:rsidRDefault="00A446C9" w:rsidP="000E5BA9">
      <w:pPr>
        <w:pStyle w:val="Heading1"/>
        <w:rPr>
          <w:lang w:val="en-US"/>
        </w:rPr>
      </w:pPr>
      <w:r w:rsidRPr="000D0361">
        <w:rPr>
          <w:lang w:val="en-US"/>
        </w:rPr>
        <w:t>Action requested of the Committee</w:t>
      </w:r>
    </w:p>
    <w:p w14:paraId="1556E528" w14:textId="70D6C89E" w:rsidR="00F25BF4" w:rsidRPr="00D7137B" w:rsidRDefault="00EE1FF6" w:rsidP="00F36489">
      <w:pPr>
        <w:pStyle w:val="BodyText"/>
        <w:rPr>
          <w:lang w:val="en-US"/>
        </w:rPr>
      </w:pPr>
      <w:r w:rsidRPr="00D7137B">
        <w:rPr>
          <w:lang w:val="en-US"/>
        </w:rPr>
        <w:t>The committee is requested to note the information.</w:t>
      </w:r>
    </w:p>
    <w:p w14:paraId="60ACBEC9" w14:textId="77777777" w:rsidR="004D1D85" w:rsidRPr="00D7137B" w:rsidRDefault="004D1D85" w:rsidP="00EE1FF6">
      <w:pPr>
        <w:pStyle w:val="List1"/>
        <w:numPr>
          <w:ilvl w:val="0"/>
          <w:numId w:val="0"/>
        </w:numPr>
        <w:ind w:left="567" w:hanging="567"/>
        <w:rPr>
          <w:lang w:val="en-US"/>
        </w:rPr>
      </w:pPr>
    </w:p>
    <w:p w14:paraId="5E201BEE" w14:textId="77777777" w:rsidR="004D1D85" w:rsidRPr="00D7137B" w:rsidRDefault="004D1D85" w:rsidP="00F36489">
      <w:pPr>
        <w:pStyle w:val="List1"/>
        <w:numPr>
          <w:ilvl w:val="0"/>
          <w:numId w:val="0"/>
        </w:numPr>
        <w:ind w:left="567"/>
        <w:rPr>
          <w:lang w:val="en-US"/>
        </w:rPr>
      </w:pPr>
    </w:p>
    <w:p w14:paraId="10DC5D6B" w14:textId="77777777" w:rsidR="004D1D85" w:rsidRPr="00D7137B" w:rsidRDefault="004D1D85" w:rsidP="000E5BA9">
      <w:pPr>
        <w:pStyle w:val="Annex"/>
        <w:rPr>
          <w:lang w:val="en-US"/>
        </w:rPr>
        <w:sectPr w:rsidR="004D1D85" w:rsidRPr="00D7137B" w:rsidSect="007A395D">
          <w:headerReference w:type="even" r:id="rId11"/>
          <w:headerReference w:type="default" r:id="rId12"/>
          <w:footerReference w:type="even" r:id="rId13"/>
          <w:footerReference w:type="default" r:id="rId14"/>
          <w:headerReference w:type="first" r:id="rId15"/>
          <w:footerReference w:type="first" r:id="rId16"/>
          <w:pgSz w:w="11906" w:h="16838"/>
          <w:pgMar w:top="709" w:right="991" w:bottom="1134" w:left="1134" w:header="709" w:footer="709" w:gutter="0"/>
          <w:cols w:space="708"/>
          <w:titlePg/>
          <w:docGrid w:linePitch="360"/>
        </w:sectPr>
      </w:pPr>
    </w:p>
    <w:p w14:paraId="70F8912F" w14:textId="4BD5A833" w:rsidR="000005D3" w:rsidRPr="007A395D" w:rsidRDefault="002F4960" w:rsidP="000E5BA9">
      <w:pPr>
        <w:pStyle w:val="Annex"/>
      </w:pPr>
      <w:r>
        <w:lastRenderedPageBreak/>
        <w:t>The MCP namespace</w:t>
      </w:r>
    </w:p>
    <w:p w14:paraId="65EF518A" w14:textId="398ADC36" w:rsidR="002F4960" w:rsidRPr="002F4960" w:rsidRDefault="002F4960" w:rsidP="002F4960">
      <w:pPr>
        <w:pStyle w:val="BodyText"/>
        <w:rPr>
          <w:lang w:val="en-US"/>
        </w:rPr>
      </w:pPr>
      <w:r w:rsidRPr="002F4960">
        <w:rPr>
          <w:lang w:val="en-US"/>
        </w:rPr>
        <w:t>We first describe the MCP namespace. As explained above it is a subspace of the Maritime Resource Name (MRN) space [3], which is an official URN namespace. The syntax definitions below use the Augmented Backus-Naur Form as specified in [RFC5234].</w:t>
      </w:r>
    </w:p>
    <w:p w14:paraId="1C760892" w14:textId="1F2EC867" w:rsidR="002F4960" w:rsidRPr="002F4960" w:rsidRDefault="002F4960" w:rsidP="002F4960">
      <w:pPr>
        <w:pStyle w:val="BodyText"/>
        <w:rPr>
          <w:lang w:val="en-US"/>
        </w:rPr>
      </w:pPr>
      <w:r w:rsidRPr="002F4960">
        <w:rPr>
          <w:lang w:val="en-US"/>
        </w:rPr>
        <w:t xml:space="preserve">The syntax for a MRN is as follows [3]: </w:t>
      </w:r>
    </w:p>
    <w:p w14:paraId="77339D55" w14:textId="77777777" w:rsidR="002F4960" w:rsidRPr="002F4960" w:rsidRDefault="002F4960" w:rsidP="002F4960">
      <w:pPr>
        <w:pStyle w:val="BodyText"/>
        <w:ind w:firstLine="720"/>
        <w:rPr>
          <w:lang w:val="en-US"/>
        </w:rPr>
      </w:pPr>
      <w:r w:rsidRPr="002F4960">
        <w:rPr>
          <w:lang w:val="en-US"/>
        </w:rPr>
        <w:t>&lt;MRN&gt; ::= "urn" ":" "</w:t>
      </w:r>
      <w:proofErr w:type="spellStart"/>
      <w:r w:rsidRPr="002F4960">
        <w:rPr>
          <w:lang w:val="en-US"/>
        </w:rPr>
        <w:t>mrn</w:t>
      </w:r>
      <w:proofErr w:type="spellEnd"/>
      <w:r w:rsidRPr="002F4960">
        <w:rPr>
          <w:lang w:val="en-US"/>
        </w:rPr>
        <w:t xml:space="preserve">" ":" &lt;OID&gt; ":" &lt;OSS&gt;  </w:t>
      </w:r>
    </w:p>
    <w:p w14:paraId="1227ACFC" w14:textId="77777777" w:rsidR="002F4960" w:rsidRPr="002F4960" w:rsidRDefault="002F4960" w:rsidP="002F4960">
      <w:pPr>
        <w:pStyle w:val="BodyText"/>
        <w:rPr>
          <w:lang w:val="en-US"/>
        </w:rPr>
      </w:pPr>
      <w:r w:rsidRPr="002F4960">
        <w:rPr>
          <w:lang w:val="en-US"/>
        </w:rPr>
        <w:tab/>
      </w:r>
      <w:r w:rsidRPr="002F4960">
        <w:rPr>
          <w:lang w:val="en-US"/>
        </w:rPr>
        <w:tab/>
        <w:t xml:space="preserve">[ </w:t>
      </w:r>
      <w:proofErr w:type="spellStart"/>
      <w:r w:rsidRPr="002F4960">
        <w:rPr>
          <w:lang w:val="en-US"/>
        </w:rPr>
        <w:t>rq</w:t>
      </w:r>
      <w:proofErr w:type="spellEnd"/>
      <w:r w:rsidRPr="002F4960">
        <w:rPr>
          <w:lang w:val="en-US"/>
        </w:rPr>
        <w:t>-components ]</w:t>
      </w:r>
    </w:p>
    <w:p w14:paraId="1723F0A1" w14:textId="77777777" w:rsidR="002F4960" w:rsidRPr="002F4960" w:rsidRDefault="002F4960" w:rsidP="002F4960">
      <w:pPr>
        <w:pStyle w:val="BodyText"/>
        <w:rPr>
          <w:lang w:val="en-US"/>
        </w:rPr>
      </w:pPr>
      <w:r w:rsidRPr="002F4960">
        <w:rPr>
          <w:lang w:val="en-US"/>
        </w:rPr>
        <w:tab/>
      </w:r>
      <w:r w:rsidRPr="002F4960">
        <w:rPr>
          <w:lang w:val="en-US"/>
        </w:rPr>
        <w:tab/>
        <w:t>[ "#" f-component ]</w:t>
      </w:r>
    </w:p>
    <w:p w14:paraId="58D302FD" w14:textId="77777777" w:rsidR="002F4960" w:rsidRPr="002F4960" w:rsidRDefault="002F4960" w:rsidP="002F4960">
      <w:pPr>
        <w:pStyle w:val="BodyText"/>
        <w:ind w:firstLine="720"/>
        <w:rPr>
          <w:lang w:val="en-US"/>
        </w:rPr>
      </w:pPr>
      <w:r w:rsidRPr="002F4960">
        <w:rPr>
          <w:lang w:val="en-US"/>
        </w:rPr>
        <w:t>&lt;OID&gt; ::= (</w:t>
      </w:r>
      <w:proofErr w:type="spellStart"/>
      <w:r w:rsidRPr="002F4960">
        <w:rPr>
          <w:lang w:val="en-US"/>
        </w:rPr>
        <w:t>alphanum</w:t>
      </w:r>
      <w:proofErr w:type="spellEnd"/>
      <w:r w:rsidRPr="002F4960">
        <w:rPr>
          <w:lang w:val="en-US"/>
        </w:rPr>
        <w:t>) 0*20(</w:t>
      </w:r>
      <w:proofErr w:type="spellStart"/>
      <w:r w:rsidRPr="002F4960">
        <w:rPr>
          <w:lang w:val="en-US"/>
        </w:rPr>
        <w:t>alphanum</w:t>
      </w:r>
      <w:proofErr w:type="spellEnd"/>
      <w:r w:rsidRPr="002F4960">
        <w:rPr>
          <w:lang w:val="en-US"/>
        </w:rPr>
        <w:t xml:space="preserve"> / "-") (</w:t>
      </w:r>
      <w:proofErr w:type="spellStart"/>
      <w:r w:rsidRPr="002F4960">
        <w:rPr>
          <w:lang w:val="en-US"/>
        </w:rPr>
        <w:t>alphanum</w:t>
      </w:r>
      <w:proofErr w:type="spellEnd"/>
      <w:r w:rsidRPr="002F4960">
        <w:rPr>
          <w:lang w:val="en-US"/>
        </w:rPr>
        <w:t xml:space="preserve">) </w:t>
      </w:r>
    </w:p>
    <w:p w14:paraId="32268E16" w14:textId="77777777" w:rsidR="002F4960" w:rsidRPr="002F4960" w:rsidRDefault="002F4960" w:rsidP="002F4960">
      <w:pPr>
        <w:pStyle w:val="BodyText"/>
        <w:ind w:firstLine="720"/>
        <w:rPr>
          <w:lang w:val="en-US"/>
        </w:rPr>
      </w:pPr>
      <w:r w:rsidRPr="002F4960">
        <w:rPr>
          <w:lang w:val="en-US"/>
        </w:rPr>
        <w:t xml:space="preserve">&lt;OSS&gt; ::= &lt;OSNID&gt; ":" &lt;OSNS&gt; </w:t>
      </w:r>
    </w:p>
    <w:p w14:paraId="0C25A43B" w14:textId="77777777" w:rsidR="002F4960" w:rsidRPr="002F4960" w:rsidRDefault="002F4960" w:rsidP="002F4960">
      <w:pPr>
        <w:pStyle w:val="BodyText"/>
        <w:ind w:firstLine="720"/>
        <w:rPr>
          <w:lang w:val="en-US"/>
        </w:rPr>
      </w:pPr>
      <w:r w:rsidRPr="002F4960">
        <w:rPr>
          <w:lang w:val="en-US"/>
        </w:rPr>
        <w:t>&lt;OSNID&gt; ::= (</w:t>
      </w:r>
      <w:proofErr w:type="spellStart"/>
      <w:r w:rsidRPr="002F4960">
        <w:rPr>
          <w:lang w:val="en-US"/>
        </w:rPr>
        <w:t>alphanum</w:t>
      </w:r>
      <w:proofErr w:type="spellEnd"/>
      <w:r w:rsidRPr="002F4960">
        <w:rPr>
          <w:lang w:val="en-US"/>
        </w:rPr>
        <w:t>) 0*32(</w:t>
      </w:r>
      <w:proofErr w:type="spellStart"/>
      <w:r w:rsidRPr="002F4960">
        <w:rPr>
          <w:lang w:val="en-US"/>
        </w:rPr>
        <w:t>alphanum</w:t>
      </w:r>
      <w:proofErr w:type="spellEnd"/>
      <w:r w:rsidRPr="002F4960">
        <w:rPr>
          <w:lang w:val="en-US"/>
        </w:rPr>
        <w:t xml:space="preserve"> / "-") (</w:t>
      </w:r>
      <w:proofErr w:type="spellStart"/>
      <w:r w:rsidRPr="002F4960">
        <w:rPr>
          <w:lang w:val="en-US"/>
        </w:rPr>
        <w:t>alphanum</w:t>
      </w:r>
      <w:proofErr w:type="spellEnd"/>
      <w:r w:rsidRPr="002F4960">
        <w:rPr>
          <w:lang w:val="en-US"/>
        </w:rPr>
        <w:t>)</w:t>
      </w:r>
    </w:p>
    <w:p w14:paraId="5767FC8D" w14:textId="60CAE784" w:rsidR="002F4960" w:rsidRPr="002F4960" w:rsidRDefault="002F4960" w:rsidP="000D0361">
      <w:pPr>
        <w:pStyle w:val="BodyText"/>
        <w:ind w:firstLine="720"/>
        <w:rPr>
          <w:lang w:val="en-US"/>
        </w:rPr>
      </w:pPr>
      <w:r w:rsidRPr="002F4960">
        <w:rPr>
          <w:lang w:val="en-US"/>
        </w:rPr>
        <w:t xml:space="preserve">&lt;OSNS&gt; ::= </w:t>
      </w:r>
      <w:proofErr w:type="spellStart"/>
      <w:r w:rsidRPr="002F4960">
        <w:rPr>
          <w:lang w:val="en-US"/>
        </w:rPr>
        <w:t>pchar</w:t>
      </w:r>
      <w:proofErr w:type="spellEnd"/>
      <w:r w:rsidRPr="002F4960">
        <w:rPr>
          <w:lang w:val="en-US"/>
        </w:rPr>
        <w:t xml:space="preserve"> *(</w:t>
      </w:r>
      <w:proofErr w:type="spellStart"/>
      <w:r w:rsidRPr="002F4960">
        <w:rPr>
          <w:lang w:val="en-US"/>
        </w:rPr>
        <w:t>pchar</w:t>
      </w:r>
      <w:proofErr w:type="spellEnd"/>
      <w:r w:rsidRPr="002F4960">
        <w:rPr>
          <w:lang w:val="en-US"/>
        </w:rPr>
        <w:t xml:space="preserve"> / "/") </w:t>
      </w:r>
    </w:p>
    <w:p w14:paraId="4B509EE3" w14:textId="77777777" w:rsidR="002F4960" w:rsidRPr="002F4960" w:rsidRDefault="002F4960" w:rsidP="002F4960">
      <w:pPr>
        <w:pStyle w:val="BodyText"/>
        <w:rPr>
          <w:lang w:val="en-US"/>
        </w:rPr>
      </w:pPr>
      <w:r w:rsidRPr="002F4960">
        <w:rPr>
          <w:lang w:val="en-US"/>
        </w:rPr>
        <w:t xml:space="preserve">The rules for </w:t>
      </w:r>
      <w:proofErr w:type="spellStart"/>
      <w:r w:rsidRPr="002F4960">
        <w:rPr>
          <w:lang w:val="en-US"/>
        </w:rPr>
        <w:t>alphanum</w:t>
      </w:r>
      <w:proofErr w:type="spellEnd"/>
      <w:r w:rsidRPr="002F4960">
        <w:rPr>
          <w:lang w:val="en-US"/>
        </w:rPr>
        <w:t xml:space="preserve"> and </w:t>
      </w:r>
      <w:proofErr w:type="spellStart"/>
      <w:r w:rsidRPr="002F4960">
        <w:rPr>
          <w:lang w:val="en-US"/>
        </w:rPr>
        <w:t>pchar</w:t>
      </w:r>
      <w:proofErr w:type="spellEnd"/>
      <w:r w:rsidRPr="002F4960">
        <w:rPr>
          <w:lang w:val="en-US"/>
        </w:rPr>
        <w:t xml:space="preserve"> are defined in [RFC3986].</w:t>
      </w:r>
    </w:p>
    <w:p w14:paraId="7C2CF1AA" w14:textId="1ED7072B" w:rsidR="002F4960" w:rsidRPr="002F4960" w:rsidRDefault="002F4960" w:rsidP="002F4960">
      <w:pPr>
        <w:pStyle w:val="BodyText"/>
        <w:rPr>
          <w:lang w:val="en-US"/>
        </w:rPr>
      </w:pPr>
      <w:r w:rsidRPr="002F4960">
        <w:rPr>
          <w:lang w:val="en-US"/>
        </w:rPr>
        <w:t xml:space="preserve"> The optional </w:t>
      </w:r>
      <w:proofErr w:type="spellStart"/>
      <w:r w:rsidRPr="002F4960">
        <w:rPr>
          <w:lang w:val="en-US"/>
        </w:rPr>
        <w:t>rq</w:t>
      </w:r>
      <w:proofErr w:type="spellEnd"/>
      <w:r w:rsidRPr="002F4960">
        <w:rPr>
          <w:lang w:val="en-US"/>
        </w:rPr>
        <w:t xml:space="preserve">-components and f-component are specified in [RFC8141]. </w:t>
      </w:r>
    </w:p>
    <w:p w14:paraId="29386A0C" w14:textId="3A3AC0CF" w:rsidR="002F4960" w:rsidRPr="002F4960" w:rsidRDefault="002F4960" w:rsidP="002F4960">
      <w:pPr>
        <w:pStyle w:val="BodyText"/>
        <w:rPr>
          <w:lang w:val="en-US"/>
        </w:rPr>
      </w:pPr>
      <w:r w:rsidRPr="002F4960">
        <w:rPr>
          <w:lang w:val="en-US"/>
        </w:rPr>
        <w:t>"</w:t>
      </w:r>
      <w:proofErr w:type="spellStart"/>
      <w:r w:rsidRPr="002F4960">
        <w:rPr>
          <w:lang w:val="en-US"/>
        </w:rPr>
        <w:t>mrn</w:t>
      </w:r>
      <w:proofErr w:type="spellEnd"/>
      <w:r w:rsidRPr="002F4960">
        <w:rPr>
          <w:lang w:val="en-US"/>
        </w:rPr>
        <w:t>" specifies that the URN is within the MRN namespace. The Organization ID (OID) refers to an organization that is assigned a subspace of MRNs such as IMO, IALA, or the MCP. Syntactically, it is a string that must be unique across the "</w:t>
      </w:r>
      <w:proofErr w:type="spellStart"/>
      <w:r w:rsidRPr="002F4960">
        <w:rPr>
          <w:lang w:val="en-US"/>
        </w:rPr>
        <w:t>mrn</w:t>
      </w:r>
      <w:proofErr w:type="spellEnd"/>
      <w:r w:rsidRPr="002F4960">
        <w:rPr>
          <w:lang w:val="en-US"/>
        </w:rPr>
        <w:t>" scheme. The Organization Specific String (OSS) is specified and managed by the governing organization in a consistent way conform to the definitions of the MRN namespace. In particular, each organization must structure the OSS into two parts: the Organization Specific Namespace ID (OSNID), and the Organization Specific Namespace String (OSNS). The OSNID identifies a particular type of resource (uniquely within the governing organization), while the OSNS identifies the particular resource (uniquely for its type within the governing organization). Altogether, this ensures that the resulting URN is globally unique.</w:t>
      </w:r>
    </w:p>
    <w:p w14:paraId="3516A405" w14:textId="00A1799D" w:rsidR="002F4960" w:rsidRPr="002F4960" w:rsidRDefault="002F4960" w:rsidP="002F4960">
      <w:pPr>
        <w:pStyle w:val="BodyText"/>
        <w:rPr>
          <w:lang w:val="en-US"/>
        </w:rPr>
      </w:pPr>
      <w:r w:rsidRPr="002F4960">
        <w:rPr>
          <w:lang w:val="en-US"/>
        </w:rPr>
        <w:t>For a MRN governed by the MCC the OID reads "</w:t>
      </w:r>
      <w:proofErr w:type="spellStart"/>
      <w:r w:rsidRPr="002F4960">
        <w:rPr>
          <w:lang w:val="en-US"/>
        </w:rPr>
        <w:t>mcp</w:t>
      </w:r>
      <w:proofErr w:type="spellEnd"/>
      <w:r w:rsidRPr="002F4960">
        <w:rPr>
          <w:lang w:val="en-US"/>
        </w:rPr>
        <w:t xml:space="preserve">", and the OSNID specifies one of the five types currently used within the MCP: device, organization, user, vessel, and service. Moreover, the definition of the OSNS takes into account the distributed structure of the MCP: identities can be provided and managed by several identity providers. In detail, the syntax of a MRN governed by the MCC (short: MCP MRN or MCP name) is as follows: </w:t>
      </w:r>
    </w:p>
    <w:p w14:paraId="409F26EA" w14:textId="77777777" w:rsidR="002F4960" w:rsidRPr="002F4960" w:rsidRDefault="002F4960" w:rsidP="002F4960">
      <w:pPr>
        <w:pStyle w:val="BodyText"/>
        <w:ind w:firstLine="720"/>
        <w:rPr>
          <w:lang w:val="en-US"/>
        </w:rPr>
      </w:pPr>
      <w:r w:rsidRPr="002F4960">
        <w:rPr>
          <w:lang w:val="en-US"/>
        </w:rPr>
        <w:t>&lt;MCP-MRN&gt; ::= "urn" ":" "</w:t>
      </w:r>
      <w:proofErr w:type="spellStart"/>
      <w:r w:rsidRPr="002F4960">
        <w:rPr>
          <w:lang w:val="en-US"/>
        </w:rPr>
        <w:t>mrn</w:t>
      </w:r>
      <w:proofErr w:type="spellEnd"/>
      <w:r w:rsidRPr="002F4960">
        <w:rPr>
          <w:lang w:val="en-US"/>
        </w:rPr>
        <w:t>" ":" "</w:t>
      </w:r>
      <w:proofErr w:type="spellStart"/>
      <w:r w:rsidRPr="002F4960">
        <w:rPr>
          <w:lang w:val="en-US"/>
        </w:rPr>
        <w:t>mcp</w:t>
      </w:r>
      <w:proofErr w:type="spellEnd"/>
      <w:r w:rsidRPr="002F4960">
        <w:rPr>
          <w:lang w:val="en-US"/>
        </w:rPr>
        <w:t xml:space="preserve">" ":" &lt;MCP-TYPE&gt; ":" &lt;IPID&gt; ":" &lt;IPSS&gt;  </w:t>
      </w:r>
    </w:p>
    <w:p w14:paraId="34A4A358" w14:textId="77777777" w:rsidR="002F4960" w:rsidRDefault="002F4960" w:rsidP="002F4960">
      <w:pPr>
        <w:pStyle w:val="BodyText"/>
        <w:ind w:firstLine="720"/>
      </w:pPr>
      <w:r>
        <w:t xml:space="preserve">&lt;MCP-TYPE&gt; ::= "device" | "org" | "user" | "vessel" | "service" </w:t>
      </w:r>
    </w:p>
    <w:p w14:paraId="2B1B339F" w14:textId="77777777" w:rsidR="002F4960" w:rsidRPr="002F4960" w:rsidRDefault="002F4960" w:rsidP="002F4960">
      <w:pPr>
        <w:pStyle w:val="BodyText"/>
        <w:ind w:firstLine="720"/>
        <w:rPr>
          <w:lang w:val="en-US"/>
        </w:rPr>
      </w:pPr>
      <w:r w:rsidRPr="002F4960">
        <w:rPr>
          <w:lang w:val="en-US"/>
        </w:rPr>
        <w:t>&lt;IPID&gt; ::= &lt;</w:t>
      </w:r>
      <w:proofErr w:type="spellStart"/>
      <w:r w:rsidRPr="002F4960">
        <w:rPr>
          <w:lang w:val="en-US"/>
        </w:rPr>
        <w:t>CountryCode</w:t>
      </w:r>
      <w:proofErr w:type="spellEnd"/>
      <w:r w:rsidRPr="002F4960">
        <w:rPr>
          <w:lang w:val="en-US"/>
        </w:rPr>
        <w:t>&gt; | (</w:t>
      </w:r>
      <w:proofErr w:type="spellStart"/>
      <w:r w:rsidRPr="002F4960">
        <w:rPr>
          <w:lang w:val="en-US"/>
        </w:rPr>
        <w:t>alphanum</w:t>
      </w:r>
      <w:proofErr w:type="spellEnd"/>
      <w:r w:rsidRPr="002F4960">
        <w:rPr>
          <w:lang w:val="en-US"/>
        </w:rPr>
        <w:t>) 0*20(</w:t>
      </w:r>
      <w:proofErr w:type="spellStart"/>
      <w:r w:rsidRPr="002F4960">
        <w:rPr>
          <w:lang w:val="en-US"/>
        </w:rPr>
        <w:t>alphanum</w:t>
      </w:r>
      <w:proofErr w:type="spellEnd"/>
      <w:r w:rsidRPr="002F4960">
        <w:rPr>
          <w:lang w:val="en-US"/>
        </w:rPr>
        <w:t xml:space="preserve"> / "-") (</w:t>
      </w:r>
      <w:proofErr w:type="spellStart"/>
      <w:r w:rsidRPr="002F4960">
        <w:rPr>
          <w:lang w:val="en-US"/>
        </w:rPr>
        <w:t>alphanum</w:t>
      </w:r>
      <w:proofErr w:type="spellEnd"/>
      <w:r w:rsidRPr="002F4960">
        <w:rPr>
          <w:lang w:val="en-US"/>
        </w:rPr>
        <w:t>)</w:t>
      </w:r>
    </w:p>
    <w:p w14:paraId="4D982DA2" w14:textId="77777777" w:rsidR="002F4960" w:rsidRPr="002F4960" w:rsidRDefault="002F4960" w:rsidP="002F4960">
      <w:pPr>
        <w:pStyle w:val="BodyText"/>
        <w:ind w:firstLine="720"/>
        <w:rPr>
          <w:lang w:val="en-US"/>
        </w:rPr>
      </w:pPr>
      <w:r w:rsidRPr="002F4960">
        <w:rPr>
          <w:lang w:val="en-US"/>
        </w:rPr>
        <w:t xml:space="preserve">&lt;IPSS&gt; ::= </w:t>
      </w:r>
      <w:proofErr w:type="spellStart"/>
      <w:r w:rsidRPr="002F4960">
        <w:rPr>
          <w:lang w:val="en-US"/>
        </w:rPr>
        <w:t>pchar</w:t>
      </w:r>
      <w:proofErr w:type="spellEnd"/>
      <w:r w:rsidRPr="002F4960">
        <w:rPr>
          <w:lang w:val="en-US"/>
        </w:rPr>
        <w:t xml:space="preserve"> *(</w:t>
      </w:r>
      <w:proofErr w:type="spellStart"/>
      <w:r w:rsidRPr="002F4960">
        <w:rPr>
          <w:lang w:val="en-US"/>
        </w:rPr>
        <w:t>pchar</w:t>
      </w:r>
      <w:proofErr w:type="spellEnd"/>
      <w:r w:rsidRPr="002F4960">
        <w:rPr>
          <w:lang w:val="en-US"/>
        </w:rPr>
        <w:t xml:space="preserve"> / "/")</w:t>
      </w:r>
    </w:p>
    <w:p w14:paraId="527D13F5" w14:textId="0D1E1CAB" w:rsidR="002F4960" w:rsidRPr="002F4960" w:rsidRDefault="002F4960" w:rsidP="002F4960">
      <w:pPr>
        <w:pStyle w:val="BodyText"/>
        <w:rPr>
          <w:lang w:val="en-US"/>
        </w:rPr>
      </w:pPr>
      <w:r w:rsidRPr="002F4960">
        <w:rPr>
          <w:lang w:val="en-US"/>
        </w:rPr>
        <w:t>"</w:t>
      </w:r>
      <w:proofErr w:type="spellStart"/>
      <w:r w:rsidRPr="002F4960">
        <w:rPr>
          <w:lang w:val="en-US"/>
        </w:rPr>
        <w:t>mcp</w:t>
      </w:r>
      <w:proofErr w:type="spellEnd"/>
      <w:r w:rsidRPr="002F4960">
        <w:rPr>
          <w:lang w:val="en-US"/>
        </w:rPr>
        <w:t xml:space="preserve">" specifies that the governing organization is the MCC. The next element is MCP-TYPE. As explained above this pins down one of the five types currently used within the MCP. The Identity Provider ID (IPID) refers to a national authority or other kind of organization that acts as an identity provider within the MCP. If the identity provider is a national authority then the IPID must be a country code as defined by ISO 3166-1 alpha-2. Otherwise it will be a string of the same syntax as that for OIDs. The IPID must be unique across the </w:t>
      </w:r>
      <w:proofErr w:type="spellStart"/>
      <w:r w:rsidRPr="002F4960">
        <w:rPr>
          <w:lang w:val="en-US"/>
        </w:rPr>
        <w:t>urn:mrn:mcp</w:t>
      </w:r>
      <w:proofErr w:type="spellEnd"/>
      <w:r w:rsidRPr="002F4960">
        <w:rPr>
          <w:lang w:val="en-US"/>
        </w:rPr>
        <w:t xml:space="preserve"> namespace. The Identity Provider Specific String (IPSS) can be defined and managed by the respective identity provider in a way that is consistent and conforms to the definitions of the MRN namespace and requirements laid down by the MCC. In particular, the identity provider must ensure that the IPSS identifies a particular </w:t>
      </w:r>
      <w:r w:rsidRPr="002F4960">
        <w:rPr>
          <w:lang w:val="en-US"/>
        </w:rPr>
        <w:lastRenderedPageBreak/>
        <w:t>resource uniquely for its type within the domain of the  identity provider. Altogether, this will ensure that the resulting URN is globally unique.</w:t>
      </w:r>
    </w:p>
    <w:p w14:paraId="1E92F91C" w14:textId="573E7C60" w:rsidR="002F4960" w:rsidRPr="002F4960" w:rsidRDefault="002F4960" w:rsidP="002F4960">
      <w:pPr>
        <w:pStyle w:val="BodyText"/>
        <w:rPr>
          <w:lang w:val="en-US"/>
        </w:rPr>
      </w:pPr>
      <w:r w:rsidRPr="002F4960">
        <w:rPr>
          <w:lang w:val="en-US"/>
        </w:rPr>
        <w:t xml:space="preserve">Important note: We expect that the definition of MCP-TYPE, i.e. the set of types, will be modified and possibly extended in the near future. In particular, "vessel" is likely to be replaced by "ship".  </w:t>
      </w:r>
    </w:p>
    <w:p w14:paraId="3FE57CEC" w14:textId="133647D1" w:rsidR="002F4960" w:rsidRPr="002F4960" w:rsidRDefault="002F4960" w:rsidP="002F4960">
      <w:pPr>
        <w:pStyle w:val="BodyText"/>
        <w:rPr>
          <w:lang w:val="en-US"/>
        </w:rPr>
      </w:pPr>
      <w:r w:rsidRPr="002F4960">
        <w:rPr>
          <w:lang w:val="en-US"/>
        </w:rPr>
        <w:t>Examples:</w:t>
      </w:r>
    </w:p>
    <w:p w14:paraId="61F63230" w14:textId="68A84CD1" w:rsidR="002F4960" w:rsidRPr="002F4960" w:rsidRDefault="002F4960" w:rsidP="002F4960">
      <w:pPr>
        <w:pStyle w:val="BodyText"/>
        <w:numPr>
          <w:ilvl w:val="0"/>
          <w:numId w:val="50"/>
        </w:numPr>
        <w:rPr>
          <w:lang w:val="en-US"/>
        </w:rPr>
      </w:pPr>
      <w:proofErr w:type="spellStart"/>
      <w:r w:rsidRPr="002F4960">
        <w:rPr>
          <w:lang w:val="en-US"/>
        </w:rPr>
        <w:t>urn:mrn:mcp:user:dma:alice</w:t>
      </w:r>
      <w:proofErr w:type="spellEnd"/>
      <w:r w:rsidRPr="002F4960">
        <w:rPr>
          <w:lang w:val="en-US"/>
        </w:rPr>
        <w:t xml:space="preserve"> - valid MCP MRN for a user, where </w:t>
      </w:r>
      <w:proofErr w:type="spellStart"/>
      <w:r w:rsidRPr="002F4960">
        <w:rPr>
          <w:lang w:val="en-US"/>
        </w:rPr>
        <w:t>dma</w:t>
      </w:r>
      <w:proofErr w:type="spellEnd"/>
      <w:r w:rsidRPr="002F4960">
        <w:rPr>
          <w:lang w:val="en-US"/>
        </w:rPr>
        <w:t xml:space="preserve"> specifies the ID Provider,  and the subsequent IPSS string is defined to give the username. </w:t>
      </w:r>
    </w:p>
    <w:p w14:paraId="3CF04E14" w14:textId="2E0D3FDF" w:rsidR="002F4960" w:rsidRPr="002F4960" w:rsidRDefault="002F4960" w:rsidP="002F4960">
      <w:pPr>
        <w:pStyle w:val="BodyText"/>
        <w:numPr>
          <w:ilvl w:val="0"/>
          <w:numId w:val="50"/>
        </w:numPr>
        <w:rPr>
          <w:lang w:val="en-US"/>
        </w:rPr>
      </w:pPr>
      <w:r w:rsidRPr="002F4960">
        <w:rPr>
          <w:lang w:val="en-US"/>
        </w:rPr>
        <w:t>urn:mrn:iala:aton:gb:sco:6789-1 - valid MRN for a marine aid to navigation (</w:t>
      </w:r>
      <w:proofErr w:type="spellStart"/>
      <w:r w:rsidRPr="002F4960">
        <w:rPr>
          <w:lang w:val="en-US"/>
        </w:rPr>
        <w:t>AtoN</w:t>
      </w:r>
      <w:proofErr w:type="spellEnd"/>
      <w:r w:rsidRPr="002F4960">
        <w:rPr>
          <w:lang w:val="en-US"/>
        </w:rPr>
        <w:t xml:space="preserve">), where </w:t>
      </w:r>
      <w:proofErr w:type="spellStart"/>
      <w:r w:rsidRPr="002F4960">
        <w:rPr>
          <w:lang w:val="en-US"/>
        </w:rPr>
        <w:t>gb</w:t>
      </w:r>
      <w:proofErr w:type="spellEnd"/>
      <w:r w:rsidRPr="002F4960">
        <w:rPr>
          <w:lang w:val="en-US"/>
        </w:rPr>
        <w:t xml:space="preserve"> stands for United Kingdom, </w:t>
      </w:r>
      <w:proofErr w:type="spellStart"/>
      <w:r w:rsidRPr="002F4960">
        <w:rPr>
          <w:lang w:val="en-US"/>
        </w:rPr>
        <w:t>sco</w:t>
      </w:r>
      <w:proofErr w:type="spellEnd"/>
      <w:r w:rsidRPr="002F4960">
        <w:rPr>
          <w:lang w:val="en-US"/>
        </w:rPr>
        <w:t xml:space="preserve"> for Scotland, and the number is the </w:t>
      </w:r>
      <w:proofErr w:type="spellStart"/>
      <w:r w:rsidRPr="002F4960">
        <w:rPr>
          <w:lang w:val="en-US"/>
        </w:rPr>
        <w:t>scottish</w:t>
      </w:r>
      <w:proofErr w:type="spellEnd"/>
      <w:r w:rsidRPr="002F4960">
        <w:rPr>
          <w:lang w:val="en-US"/>
        </w:rPr>
        <w:t xml:space="preserve"> asset identifier. The example is from [4]. This is not a MCP MRN.</w:t>
      </w:r>
    </w:p>
    <w:p w14:paraId="3DC7B66E" w14:textId="0E5FF31D" w:rsidR="002F4960" w:rsidRPr="002F4960" w:rsidRDefault="002F4960" w:rsidP="002F4960">
      <w:pPr>
        <w:pStyle w:val="BodyText"/>
        <w:numPr>
          <w:ilvl w:val="0"/>
          <w:numId w:val="50"/>
        </w:numPr>
        <w:rPr>
          <w:lang w:val="en-US"/>
        </w:rPr>
      </w:pPr>
      <w:r w:rsidRPr="002F4960">
        <w:rPr>
          <w:lang w:val="en-US"/>
        </w:rPr>
        <w:t xml:space="preserve">urn:mrn:mcp:device:mirX:aton:gb:sco:6789-1 - valid MCP MRN for the same </w:t>
      </w:r>
      <w:proofErr w:type="spellStart"/>
      <w:r w:rsidRPr="002F4960">
        <w:rPr>
          <w:lang w:val="en-US"/>
        </w:rPr>
        <w:t>AtoN</w:t>
      </w:r>
      <w:proofErr w:type="spellEnd"/>
      <w:r w:rsidRPr="002F4960">
        <w:rPr>
          <w:lang w:val="en-US"/>
        </w:rPr>
        <w:t xml:space="preserve">, where </w:t>
      </w:r>
      <w:proofErr w:type="spellStart"/>
      <w:r w:rsidRPr="002F4960">
        <w:rPr>
          <w:lang w:val="en-US"/>
        </w:rPr>
        <w:t>mirX</w:t>
      </w:r>
      <w:proofErr w:type="spellEnd"/>
      <w:r w:rsidRPr="002F4960">
        <w:rPr>
          <w:lang w:val="en-US"/>
        </w:rPr>
        <w:t xml:space="preserve"> specifies the ID Provider, and the subsequent IPSS string is defined to first specify the type of the device, and then to follow the country-specific convention of the IALA scheme.  </w:t>
      </w:r>
    </w:p>
    <w:p w14:paraId="0C35D5CE" w14:textId="11FE6812" w:rsidR="002F4960" w:rsidRPr="002F4960" w:rsidRDefault="002F4960" w:rsidP="002F4960">
      <w:pPr>
        <w:pStyle w:val="BodyText"/>
        <w:rPr>
          <w:lang w:val="en-US"/>
        </w:rPr>
      </w:pPr>
      <w:r w:rsidRPr="002F4960">
        <w:rPr>
          <w:lang w:val="en-US"/>
        </w:rPr>
        <w:t xml:space="preserve">The following requirements pin down that and how the MCP namespace can be managed </w:t>
      </w:r>
      <w:proofErr w:type="spellStart"/>
      <w:r w:rsidRPr="002F4960">
        <w:rPr>
          <w:lang w:val="en-US"/>
        </w:rPr>
        <w:t>decentrally</w:t>
      </w:r>
      <w:proofErr w:type="spellEnd"/>
      <w:r w:rsidRPr="002F4960">
        <w:rPr>
          <w:lang w:val="en-US"/>
        </w:rPr>
        <w:t>.</w:t>
      </w:r>
    </w:p>
    <w:p w14:paraId="30495F4E" w14:textId="67EB276B" w:rsidR="002F4960" w:rsidRPr="002F4960" w:rsidRDefault="002F4960" w:rsidP="002F4960">
      <w:pPr>
        <w:pStyle w:val="BodyText"/>
        <w:ind w:left="720"/>
        <w:rPr>
          <w:b/>
          <w:lang w:val="en-US"/>
        </w:rPr>
      </w:pPr>
      <w:r w:rsidRPr="002F4960">
        <w:rPr>
          <w:b/>
          <w:lang w:val="en-US"/>
        </w:rPr>
        <w:t>ID2 The MCC can delegate the assignment of part of the MCP namespace to other organizations that act as identity providers. More concretely, this means that the organization, say X, must hold an IPID, say string "</w:t>
      </w:r>
      <w:proofErr w:type="spellStart"/>
      <w:r w:rsidRPr="002F4960">
        <w:rPr>
          <w:b/>
          <w:lang w:val="en-US"/>
        </w:rPr>
        <w:t>nameofx</w:t>
      </w:r>
      <w:proofErr w:type="spellEnd"/>
      <w:r w:rsidRPr="002F4960">
        <w:rPr>
          <w:b/>
          <w:lang w:val="en-US"/>
        </w:rPr>
        <w:t>", and is then responsible for the namespace with the prefix "</w:t>
      </w:r>
      <w:proofErr w:type="spellStart"/>
      <w:r w:rsidRPr="002F4960">
        <w:rPr>
          <w:b/>
          <w:lang w:val="en-US"/>
        </w:rPr>
        <w:t>urn:mrn:mcp</w:t>
      </w:r>
      <w:proofErr w:type="spellEnd"/>
      <w:r w:rsidRPr="002F4960">
        <w:rPr>
          <w:b/>
          <w:lang w:val="en-US"/>
        </w:rPr>
        <w:t>:&lt;MCP-TYPE&gt;:</w:t>
      </w:r>
      <w:proofErr w:type="spellStart"/>
      <w:r w:rsidRPr="002F4960">
        <w:rPr>
          <w:b/>
          <w:lang w:val="en-US"/>
        </w:rPr>
        <w:t>nameofx</w:t>
      </w:r>
      <w:proofErr w:type="spellEnd"/>
      <w:r w:rsidRPr="002F4960">
        <w:rPr>
          <w:b/>
          <w:lang w:val="en-US"/>
        </w:rPr>
        <w:t xml:space="preserve">".  </w:t>
      </w:r>
    </w:p>
    <w:p w14:paraId="0CDC4D29" w14:textId="43542C81" w:rsidR="002F4960" w:rsidRPr="002F4960" w:rsidRDefault="002F4960" w:rsidP="002F4960">
      <w:pPr>
        <w:pStyle w:val="BodyText"/>
        <w:ind w:left="720"/>
        <w:rPr>
          <w:b/>
          <w:lang w:val="en-US"/>
        </w:rPr>
      </w:pPr>
      <w:r w:rsidRPr="002F4960">
        <w:rPr>
          <w:b/>
          <w:lang w:val="en-US"/>
        </w:rPr>
        <w:t xml:space="preserve">ID2.1 The MCC must ensure that each IPID refers to at most one identity provider.  </w:t>
      </w:r>
    </w:p>
    <w:p w14:paraId="70479EFD" w14:textId="0F3C3BA4" w:rsidR="002F4960" w:rsidRPr="002F4960" w:rsidRDefault="002F4960" w:rsidP="002F4960">
      <w:pPr>
        <w:pStyle w:val="BodyText"/>
        <w:ind w:left="720"/>
        <w:rPr>
          <w:b/>
          <w:lang w:val="en-US"/>
        </w:rPr>
      </w:pPr>
      <w:r w:rsidRPr="002F4960">
        <w:rPr>
          <w:b/>
          <w:lang w:val="en-US"/>
        </w:rPr>
        <w:t xml:space="preserve">ID2.2 Each Identity Provider must ensure to respect all syntax prescribed in the MRN specification. Moreover, each Identity Provider must ensure that each IPSS of their name space refers to at most one entity of their domain. </w:t>
      </w:r>
    </w:p>
    <w:p w14:paraId="72B4D6BB" w14:textId="2F717EF1" w:rsidR="002F4960" w:rsidRPr="002F4960" w:rsidRDefault="002F4960" w:rsidP="002F4960">
      <w:pPr>
        <w:pStyle w:val="BodyText"/>
        <w:ind w:left="720"/>
        <w:rPr>
          <w:b/>
          <w:lang w:val="en-US"/>
        </w:rPr>
      </w:pPr>
      <w:r w:rsidRPr="002F4960">
        <w:rPr>
          <w:b/>
          <w:lang w:val="en-US"/>
        </w:rPr>
        <w:t>ID2.3 The MCC can give recommendations on how to structure the IPSS, e.g. to harmonize the syntax for particular types of entities. These recommendations will not be binding. However, the MCC reserves the right that a particular syntax can be binding with respect to conformance to certain profiles.</w:t>
      </w:r>
    </w:p>
    <w:p w14:paraId="4AB4F199" w14:textId="301FB932" w:rsidR="002F4960" w:rsidRPr="002F4960" w:rsidRDefault="002F4960" w:rsidP="002F4960">
      <w:pPr>
        <w:pStyle w:val="BodyText"/>
        <w:rPr>
          <w:lang w:val="en-US"/>
        </w:rPr>
      </w:pPr>
      <w:r w:rsidRPr="002F4960">
        <w:rPr>
          <w:lang w:val="en-US"/>
        </w:rPr>
        <w:t>Note that ID2.1 and the second part of ID2.2 together ensure uniqueness: one MCP MRN is assigned to at most one entity. This is a general requirement for any URN. ID2.3 allows us to harmonize the IP specific strings while not principally restricting the governance of an IP provider over its namespace.</w:t>
      </w:r>
    </w:p>
    <w:p w14:paraId="54CC9796" w14:textId="4C107E3E" w:rsidR="002F4960" w:rsidRPr="002F4960" w:rsidRDefault="002F4960" w:rsidP="002F4960">
      <w:pPr>
        <w:pStyle w:val="BodyText"/>
        <w:rPr>
          <w:lang w:val="en-US"/>
        </w:rPr>
      </w:pPr>
      <w:r w:rsidRPr="002F4960">
        <w:rPr>
          <w:lang w:val="en-US"/>
        </w:rPr>
        <w:t>Example:</w:t>
      </w:r>
    </w:p>
    <w:p w14:paraId="7E148697" w14:textId="7AC20CAC" w:rsidR="002F4960" w:rsidRPr="002F4960" w:rsidRDefault="002F4960" w:rsidP="002F4960">
      <w:pPr>
        <w:pStyle w:val="BodyText"/>
        <w:ind w:left="720"/>
        <w:rPr>
          <w:lang w:val="en-US"/>
        </w:rPr>
      </w:pPr>
      <w:r w:rsidRPr="002F4960">
        <w:rPr>
          <w:lang w:val="en-US"/>
        </w:rPr>
        <w:t>Say there are two ID providers, MIR X and MIR Y. Assume the MCC assigns the IPID "</w:t>
      </w:r>
      <w:proofErr w:type="spellStart"/>
      <w:r w:rsidRPr="002F4960">
        <w:rPr>
          <w:lang w:val="en-US"/>
        </w:rPr>
        <w:t>mirx</w:t>
      </w:r>
      <w:proofErr w:type="spellEnd"/>
      <w:r w:rsidRPr="002F4960">
        <w:rPr>
          <w:lang w:val="en-US"/>
        </w:rPr>
        <w:t>" to MIR X, and "miry" to MIR Y respectively. The MCC must ensure that the strings "</w:t>
      </w:r>
      <w:proofErr w:type="spellStart"/>
      <w:r w:rsidRPr="002F4960">
        <w:rPr>
          <w:lang w:val="en-US"/>
        </w:rPr>
        <w:t>mirx</w:t>
      </w:r>
      <w:proofErr w:type="spellEnd"/>
      <w:r w:rsidRPr="002F4960">
        <w:rPr>
          <w:lang w:val="en-US"/>
        </w:rPr>
        <w:t>" and "miry" are not assigned to any other MIR. MIR X is responsible for the namespace "</w:t>
      </w:r>
      <w:proofErr w:type="spellStart"/>
      <w:r w:rsidRPr="002F4960">
        <w:rPr>
          <w:lang w:val="en-US"/>
        </w:rPr>
        <w:t>urn:mrn:mcp</w:t>
      </w:r>
      <w:proofErr w:type="spellEnd"/>
      <w:r w:rsidRPr="002F4960">
        <w:rPr>
          <w:lang w:val="en-US"/>
        </w:rPr>
        <w:t>:&lt;MCP-TYPE&gt;:</w:t>
      </w:r>
      <w:proofErr w:type="spellStart"/>
      <w:r w:rsidRPr="002F4960">
        <w:rPr>
          <w:lang w:val="en-US"/>
        </w:rPr>
        <w:t>mirx</w:t>
      </w:r>
      <w:proofErr w:type="spellEnd"/>
      <w:r w:rsidRPr="002F4960">
        <w:rPr>
          <w:lang w:val="en-US"/>
        </w:rPr>
        <w:t>:*", and MIR Y is responsible for the namespace "</w:t>
      </w:r>
      <w:proofErr w:type="spellStart"/>
      <w:r w:rsidRPr="002F4960">
        <w:rPr>
          <w:lang w:val="en-US"/>
        </w:rPr>
        <w:t>urn:mrn:mcp</w:t>
      </w:r>
      <w:proofErr w:type="spellEnd"/>
      <w:r w:rsidRPr="002F4960">
        <w:rPr>
          <w:lang w:val="en-US"/>
        </w:rPr>
        <w:t xml:space="preserve">:&lt;MCP-TYPE&gt;:miry:*" respectively. They might decide to employ the same syntax for the IP specific string, and make this part of a profile they both adhere to. Other ID providers are not bound to use the same syntax. However, if they do not comply to it they cannot be compliant to that profile. </w:t>
      </w:r>
    </w:p>
    <w:p w14:paraId="60F75880" w14:textId="016D17D4" w:rsidR="002F4960" w:rsidRPr="002F4960" w:rsidRDefault="002F4960" w:rsidP="002F4960">
      <w:pPr>
        <w:pStyle w:val="BodyText"/>
        <w:rPr>
          <w:lang w:val="en-US"/>
        </w:rPr>
      </w:pPr>
      <w:r w:rsidRPr="002F4960">
        <w:rPr>
          <w:lang w:val="en-US"/>
        </w:rPr>
        <w:t>Finally, the following is to ensure a good practice of transparency and interoperability:</w:t>
      </w:r>
    </w:p>
    <w:p w14:paraId="206BB500" w14:textId="62947EA8" w:rsidR="002F4960" w:rsidRPr="002F4960" w:rsidRDefault="002F4960" w:rsidP="002F4960">
      <w:pPr>
        <w:pStyle w:val="BodyText"/>
        <w:ind w:left="720"/>
        <w:rPr>
          <w:b/>
          <w:lang w:val="en-US"/>
        </w:rPr>
      </w:pPr>
      <w:r w:rsidRPr="002F4960">
        <w:rPr>
          <w:b/>
          <w:lang w:val="en-US"/>
        </w:rPr>
        <w:lastRenderedPageBreak/>
        <w:t>ID3 Every Identity Provider is encouraged to publish he syntax that describes their name space as well as provide a reference implementation that recognizes the strings of their namespace.</w:t>
      </w:r>
    </w:p>
    <w:p w14:paraId="13C4E9BF" w14:textId="26971CFF" w:rsidR="002F4960" w:rsidRDefault="002F4960" w:rsidP="002F4960">
      <w:pPr>
        <w:pStyle w:val="BodyText"/>
        <w:rPr>
          <w:lang w:val="en-US"/>
        </w:rPr>
      </w:pPr>
      <w:r w:rsidRPr="002F4960">
        <w:rPr>
          <w:b/>
          <w:lang w:val="en-US"/>
        </w:rPr>
        <w:t>Important note</w:t>
      </w:r>
      <w:r w:rsidRPr="002F4960">
        <w:rPr>
          <w:lang w:val="en-US"/>
        </w:rPr>
        <w:t>: According to current discussions in the MCC WGs this recommendation is likely to become mandatory in the future. Also, it is foreseen that an automated service will be hosted from the MCP web page that makes such information and tools available.</w:t>
      </w:r>
    </w:p>
    <w:p w14:paraId="0E402B78" w14:textId="77777777" w:rsidR="002F4960" w:rsidRPr="002F4960" w:rsidRDefault="002F4960" w:rsidP="002F4960">
      <w:pPr>
        <w:pStyle w:val="BodyText"/>
        <w:rPr>
          <w:lang w:val="en-US"/>
        </w:rPr>
      </w:pPr>
    </w:p>
    <w:p w14:paraId="202A85DB" w14:textId="4CB8CF63" w:rsidR="002F4960" w:rsidRPr="002F4960" w:rsidRDefault="002F4960" w:rsidP="002F4960">
      <w:pPr>
        <w:pStyle w:val="AnnexHeading2"/>
        <w:rPr>
          <w:lang w:val="en-US"/>
        </w:rPr>
      </w:pPr>
      <w:r w:rsidRPr="002F4960">
        <w:rPr>
          <w:lang w:val="en-US"/>
        </w:rPr>
        <w:t>Further Requirements for a Strong Notion of Maritime Identity</w:t>
      </w:r>
    </w:p>
    <w:p w14:paraId="2097BE86" w14:textId="4ED06359" w:rsidR="002F4960" w:rsidRPr="002F4960" w:rsidRDefault="002F4960" w:rsidP="002F4960">
      <w:pPr>
        <w:pStyle w:val="BodyText"/>
        <w:rPr>
          <w:lang w:val="en-US"/>
        </w:rPr>
      </w:pPr>
      <w:r w:rsidRPr="002F4960">
        <w:rPr>
          <w:lang w:val="en-US"/>
        </w:rPr>
        <w:t xml:space="preserve">The vision of the MCP is to enable a strong concept of </w:t>
      </w:r>
      <w:proofErr w:type="spellStart"/>
      <w:r w:rsidRPr="002F4960">
        <w:rPr>
          <w:lang w:val="en-US"/>
        </w:rPr>
        <w:t>digitial</w:t>
      </w:r>
      <w:proofErr w:type="spellEnd"/>
      <w:r w:rsidRPr="002F4960">
        <w:rPr>
          <w:lang w:val="en-US"/>
        </w:rPr>
        <w:t xml:space="preserve"> maritime identity. Hence, we put down requirements that go beyond what is commonly required of URNs. The following ensures that one physical entity cannot have several MCP MRNs. For example, this supports law enforcement: When a maritime entity gets discovered and blacklisted for "bad </w:t>
      </w:r>
      <w:proofErr w:type="spellStart"/>
      <w:r w:rsidRPr="002F4960">
        <w:rPr>
          <w:lang w:val="en-US"/>
        </w:rPr>
        <w:t>behaviour</w:t>
      </w:r>
      <w:proofErr w:type="spellEnd"/>
      <w:r w:rsidRPr="002F4960">
        <w:rPr>
          <w:lang w:val="en-US"/>
        </w:rPr>
        <w:t xml:space="preserve">" (e.g. fake emergency </w:t>
      </w:r>
      <w:proofErr w:type="spellStart"/>
      <w:r w:rsidRPr="002F4960">
        <w:rPr>
          <w:lang w:val="en-US"/>
        </w:rPr>
        <w:t>signalling</w:t>
      </w:r>
      <w:proofErr w:type="spellEnd"/>
      <w:r w:rsidRPr="002F4960">
        <w:rPr>
          <w:lang w:val="en-US"/>
        </w:rPr>
        <w:t xml:space="preserve">) then it cannot simply revert to another MCP identity and participate as usual. </w:t>
      </w:r>
    </w:p>
    <w:p w14:paraId="386B3449" w14:textId="1D7C3631" w:rsidR="002F4960" w:rsidRPr="002F4960" w:rsidRDefault="002F4960" w:rsidP="002F4960">
      <w:pPr>
        <w:pStyle w:val="BodyText"/>
        <w:ind w:left="720"/>
        <w:rPr>
          <w:b/>
          <w:lang w:val="en-US"/>
        </w:rPr>
      </w:pPr>
      <w:r w:rsidRPr="002F4960">
        <w:rPr>
          <w:b/>
          <w:lang w:val="en-US"/>
        </w:rPr>
        <w:t>ID1 Every entity registered as a MCP participant shall hold at most one MCP MRN (i.e. MRN governed by the MCP). This does not exclude that a MCP entity can hold other MRNs, but these must be within namespaces governed by other organizations (e.g. IMO).  Also, we will formulate exceptions concerning legacy MRNs within the MCP namespace.</w:t>
      </w:r>
    </w:p>
    <w:p w14:paraId="358D70A6" w14:textId="4137AD2C" w:rsidR="002F4960" w:rsidRPr="002F4960" w:rsidRDefault="002F4960" w:rsidP="002F4960">
      <w:pPr>
        <w:pStyle w:val="BodyText"/>
        <w:rPr>
          <w:lang w:val="en-US"/>
        </w:rPr>
      </w:pPr>
      <w:r w:rsidRPr="002F4960">
        <w:rPr>
          <w:lang w:val="en-US"/>
        </w:rPr>
        <w:t>Important note: According to current discussions in the MCC WGs this requirement is likely to be strengthened to "Every entity of the MCP shall hold exactly one MCP MRN (i.e. MRN governed by the MCP)" in the future. Similarly to the current formulation this does not exclude that an MCP entity can hold another MRN of another organization. But it will give a clear concept of MCP entity: those entities that are registered under an MCP MRN name.</w:t>
      </w:r>
    </w:p>
    <w:p w14:paraId="66CD65C5" w14:textId="0FFB53BE" w:rsidR="002F4960" w:rsidRPr="002F4960" w:rsidRDefault="002F4960" w:rsidP="002F4960">
      <w:pPr>
        <w:pStyle w:val="BodyText"/>
        <w:rPr>
          <w:lang w:val="en-US"/>
        </w:rPr>
      </w:pPr>
      <w:r w:rsidRPr="002F4960">
        <w:rPr>
          <w:lang w:val="en-US"/>
        </w:rPr>
        <w:t xml:space="preserve">Hence, the </w:t>
      </w:r>
      <w:proofErr w:type="spellStart"/>
      <w:r w:rsidRPr="002F4960">
        <w:rPr>
          <w:lang w:val="en-US"/>
        </w:rPr>
        <w:t>AtoN</w:t>
      </w:r>
      <w:proofErr w:type="spellEnd"/>
      <w:r w:rsidRPr="002F4960">
        <w:rPr>
          <w:lang w:val="en-US"/>
        </w:rPr>
        <w:t xml:space="preserve"> in the example above can be identified by its IALA MRN, or its MCP MRN respectively. However,  Requirement ID1 rules out that the </w:t>
      </w:r>
      <w:proofErr w:type="spellStart"/>
      <w:r w:rsidRPr="002F4960">
        <w:rPr>
          <w:lang w:val="en-US"/>
        </w:rPr>
        <w:t>AtoN</w:t>
      </w:r>
      <w:proofErr w:type="spellEnd"/>
      <w:r w:rsidRPr="002F4960">
        <w:rPr>
          <w:lang w:val="en-US"/>
        </w:rPr>
        <w:t xml:space="preserve"> can be referred to by a second MCP MRN. The following requirements implement ID1 in a decentral manner. </w:t>
      </w:r>
    </w:p>
    <w:p w14:paraId="7D6CA98A" w14:textId="37C862EF" w:rsidR="002F4960" w:rsidRPr="002F4960" w:rsidRDefault="002F4960" w:rsidP="002F4960">
      <w:pPr>
        <w:pStyle w:val="BodyText"/>
        <w:ind w:left="720"/>
        <w:rPr>
          <w:b/>
          <w:lang w:val="en-US"/>
        </w:rPr>
      </w:pPr>
      <w:r w:rsidRPr="002F4960">
        <w:rPr>
          <w:b/>
          <w:lang w:val="en-US"/>
        </w:rPr>
        <w:t>ID1.1 Each Identity Provider shall ensure that each entity they register holds at most one MCP MRN within their namespace.</w:t>
      </w:r>
    </w:p>
    <w:p w14:paraId="3F6AE58F" w14:textId="1D884C88" w:rsidR="002F4960" w:rsidRPr="002F4960" w:rsidRDefault="002F4960" w:rsidP="002F4960">
      <w:pPr>
        <w:pStyle w:val="BodyText"/>
        <w:ind w:left="720"/>
        <w:rPr>
          <w:b/>
          <w:lang w:val="en-US"/>
        </w:rPr>
      </w:pPr>
      <w:r w:rsidRPr="002F4960">
        <w:rPr>
          <w:b/>
          <w:lang w:val="en-US"/>
        </w:rPr>
        <w:t>ID1.2 Each holder of a maritime entity shall ensure that this entity is registered with at most one MCP identity provider.</w:t>
      </w:r>
    </w:p>
    <w:p w14:paraId="1FC4E7A9" w14:textId="02F57D5D" w:rsidR="004D1D85" w:rsidRPr="002F4960" w:rsidRDefault="002F4960" w:rsidP="002F4960">
      <w:pPr>
        <w:pStyle w:val="BodyText"/>
        <w:rPr>
          <w:lang w:val="en-US"/>
        </w:rPr>
      </w:pPr>
      <w:r w:rsidRPr="002F4960">
        <w:rPr>
          <w:lang w:val="en-US"/>
        </w:rPr>
        <w:t>Note that practically it won't be possible to avoid that a "bad player" will seek to register their entity at several different Identity Providers and thereby obtain several MCP identities for it. However, ID1.1 ensures that they can obtain at most as many identities as there exist Identity Providers. And ID1.2 ensures that when it is discovered that an entity holds several MCP MRNs of different providers then it is clear that they have violated a rule (and action can be tied to this).</w:t>
      </w:r>
    </w:p>
    <w:p w14:paraId="16AE6650" w14:textId="10ECD1DB" w:rsidR="004D1D85" w:rsidRPr="00D7137B" w:rsidRDefault="004D1D85" w:rsidP="002F4960">
      <w:pPr>
        <w:pStyle w:val="AnnexHeading3"/>
        <w:numPr>
          <w:ilvl w:val="0"/>
          <w:numId w:val="0"/>
        </w:numPr>
        <w:rPr>
          <w:rFonts w:ascii="Calibri" w:hAnsi="Calibri"/>
          <w:lang w:val="en-US"/>
        </w:rPr>
      </w:pPr>
    </w:p>
    <w:sectPr w:rsidR="004D1D85" w:rsidRPr="00D7137B"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B9328A" w14:textId="77777777" w:rsidR="004169DB" w:rsidRDefault="004169DB" w:rsidP="00362CD9">
      <w:r>
        <w:separator/>
      </w:r>
    </w:p>
    <w:p w14:paraId="44D4E406" w14:textId="77777777" w:rsidR="004169DB" w:rsidRDefault="004169DB"/>
    <w:p w14:paraId="363C98D1" w14:textId="77777777" w:rsidR="004169DB" w:rsidRDefault="004169DB"/>
  </w:endnote>
  <w:endnote w:type="continuationSeparator" w:id="0">
    <w:p w14:paraId="3F01EECD" w14:textId="77777777" w:rsidR="004169DB" w:rsidRDefault="004169DB" w:rsidP="00362CD9">
      <w:r>
        <w:continuationSeparator/>
      </w:r>
    </w:p>
    <w:p w14:paraId="483314AD" w14:textId="77777777" w:rsidR="004169DB" w:rsidRDefault="004169DB"/>
    <w:p w14:paraId="6AAD0165" w14:textId="77777777" w:rsidR="004169DB" w:rsidRDefault="004169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0D44D" w14:textId="77777777" w:rsidR="00D7137B" w:rsidRDefault="00D713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3651F335" w:rsidR="004D4B1B" w:rsidRPr="00036B9E" w:rsidRDefault="004D4B1B">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651B8B">
      <w:rPr>
        <w:rFonts w:ascii="Calibri" w:hAnsi="Calibri"/>
        <w:noProof/>
      </w:rPr>
      <w:t>2</w:t>
    </w:r>
    <w:r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FA766" w14:textId="77777777" w:rsidR="00D7137B" w:rsidRDefault="00D713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769E36" w14:textId="77777777" w:rsidR="004169DB" w:rsidRDefault="004169DB" w:rsidP="00362CD9">
      <w:r>
        <w:separator/>
      </w:r>
    </w:p>
    <w:p w14:paraId="37A05DC0" w14:textId="77777777" w:rsidR="004169DB" w:rsidRDefault="004169DB"/>
    <w:p w14:paraId="1E396A51" w14:textId="77777777" w:rsidR="004169DB" w:rsidRDefault="004169DB"/>
  </w:footnote>
  <w:footnote w:type="continuationSeparator" w:id="0">
    <w:p w14:paraId="571BA9EB" w14:textId="77777777" w:rsidR="004169DB" w:rsidRDefault="004169DB" w:rsidP="00362CD9">
      <w:r>
        <w:continuationSeparator/>
      </w:r>
    </w:p>
    <w:p w14:paraId="5B527336" w14:textId="77777777" w:rsidR="004169DB" w:rsidRDefault="004169DB"/>
    <w:p w14:paraId="051ACC77" w14:textId="77777777" w:rsidR="004169DB" w:rsidRDefault="004169DB"/>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2F4960">
        <w:rPr>
          <w:rFonts w:ascii="Calibri" w:hAnsi="Calibri"/>
          <w:lang w:val="en-US"/>
        </w:rPr>
        <w:t xml:space="preserve"> </w:t>
      </w:r>
      <w:r w:rsidRPr="002F4960">
        <w:rPr>
          <w:rFonts w:ascii="Calibri" w:hAnsi="Calibri"/>
          <w:sz w:val="16"/>
          <w:szCs w:val="16"/>
          <w:lang w:val="en-US"/>
        </w:rPr>
        <w:t>Input document number, to be assigned by the Committee Secretary</w:t>
      </w:r>
    </w:p>
  </w:footnote>
  <w:footnote w:id="2">
    <w:p w14:paraId="13DFA22D" w14:textId="26B6D68D" w:rsidR="004D4B1B" w:rsidRPr="00D7137B" w:rsidRDefault="004D4B1B" w:rsidP="007055E4">
      <w:pPr>
        <w:pStyle w:val="FootnoteText"/>
        <w:ind w:left="113" w:hanging="113"/>
        <w:rPr>
          <w:lang w:val="en-US"/>
        </w:rPr>
      </w:pPr>
      <w:r w:rsidRPr="007055E4">
        <w:rPr>
          <w:rStyle w:val="FootnoteReference"/>
          <w:rFonts w:ascii="Calibri" w:hAnsi="Calibri"/>
        </w:rPr>
        <w:footnoteRef/>
      </w:r>
      <w:r w:rsidRPr="00D7137B">
        <w:rPr>
          <w:rFonts w:ascii="Calibri" w:hAnsi="Calibri"/>
          <w:lang w:val="en-US"/>
        </w:rPr>
        <w:t xml:space="preserve"> </w:t>
      </w:r>
      <w:r w:rsidRPr="00D7137B">
        <w:rPr>
          <w:rFonts w:ascii="Calibri" w:hAnsi="Calibri"/>
          <w:sz w:val="16"/>
          <w:szCs w:val="16"/>
          <w:lang w:val="en-US"/>
        </w:rPr>
        <w:t>Input papers should be assigned to a work task as listed in the Committee work plan which is available in  input papers.</w:t>
      </w:r>
      <w:r w:rsidRPr="00D7137B">
        <w:rPr>
          <w:rFonts w:ascii="Calibri" w:hAnsi="Calibri"/>
          <w:lang w:val="en-US"/>
        </w:rPr>
        <w:t xml:space="preserve"> </w:t>
      </w:r>
      <w:r w:rsidRPr="00D7137B">
        <w:rPr>
          <w:rFonts w:ascii="Calibri" w:hAnsi="Calibri"/>
          <w:sz w:val="16"/>
          <w:szCs w:val="16"/>
          <w:lang w:val="en-US"/>
        </w:rPr>
        <w:t>Leave open if uncertain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082CF391" w:rsidR="004D4B1B" w:rsidRDefault="004D4B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3F88A9B0" w:rsidR="004D4B1B" w:rsidRDefault="004D4B1B" w:rsidP="007A395D">
    <w:pPr>
      <w:pStyle w:val="Header"/>
      <w:jc w:val="right"/>
    </w:pPr>
    <w:r>
      <w:rPr>
        <w:noProof/>
        <w:lang w:val="en-US"/>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4D4B1B" w:rsidRDefault="004D4B1B" w:rsidP="007A395D">
    <w:pPr>
      <w:pStyle w:val="Header"/>
      <w:jc w:val="center"/>
    </w:pPr>
    <w:r>
      <w:rPr>
        <w:noProof/>
        <w:lang w:val="en-US"/>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3150E9FA" w:rsidR="004D4B1B" w:rsidRDefault="004D4B1B"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9C37E91"/>
    <w:multiLevelType w:val="multilevel"/>
    <w:tmpl w:val="B6686248"/>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953D17"/>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DA33D8"/>
    <w:multiLevelType w:val="multilevel"/>
    <w:tmpl w:val="DE70FB7A"/>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6A32424"/>
    <w:multiLevelType w:val="hybridMultilevel"/>
    <w:tmpl w:val="7CC88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7"/>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7"/>
  </w:num>
  <w:num w:numId="15">
    <w:abstractNumId w:val="30"/>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8"/>
  </w:num>
  <w:num w:numId="47">
    <w:abstractNumId w:val="5"/>
  </w:num>
  <w:num w:numId="48">
    <w:abstractNumId w:val="6"/>
  </w:num>
  <w:num w:numId="49">
    <w:abstractNumId w:val="26"/>
  </w:num>
  <w:num w:numId="50">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B9E"/>
    <w:rsid w:val="00037DF4"/>
    <w:rsid w:val="0004700E"/>
    <w:rsid w:val="00070C13"/>
    <w:rsid w:val="000715C9"/>
    <w:rsid w:val="00084F33"/>
    <w:rsid w:val="000A77A7"/>
    <w:rsid w:val="000B1707"/>
    <w:rsid w:val="000C1B3E"/>
    <w:rsid w:val="000D0361"/>
    <w:rsid w:val="000E5BA9"/>
    <w:rsid w:val="000F15B0"/>
    <w:rsid w:val="0010585B"/>
    <w:rsid w:val="00110AE7"/>
    <w:rsid w:val="00127DB0"/>
    <w:rsid w:val="00137240"/>
    <w:rsid w:val="00137DC2"/>
    <w:rsid w:val="00177F4D"/>
    <w:rsid w:val="00180DDA"/>
    <w:rsid w:val="00185001"/>
    <w:rsid w:val="001B2A2D"/>
    <w:rsid w:val="001B5ECC"/>
    <w:rsid w:val="001B737D"/>
    <w:rsid w:val="001C44A3"/>
    <w:rsid w:val="001C7BE2"/>
    <w:rsid w:val="001E0E15"/>
    <w:rsid w:val="001F528A"/>
    <w:rsid w:val="001F704E"/>
    <w:rsid w:val="00201722"/>
    <w:rsid w:val="00212404"/>
    <w:rsid w:val="002125B0"/>
    <w:rsid w:val="00243228"/>
    <w:rsid w:val="00251483"/>
    <w:rsid w:val="00255CAA"/>
    <w:rsid w:val="002608E2"/>
    <w:rsid w:val="00264305"/>
    <w:rsid w:val="00265CED"/>
    <w:rsid w:val="002A0346"/>
    <w:rsid w:val="002A4487"/>
    <w:rsid w:val="002B49E9"/>
    <w:rsid w:val="002C632E"/>
    <w:rsid w:val="002D3E8B"/>
    <w:rsid w:val="002D4575"/>
    <w:rsid w:val="002D5C0C"/>
    <w:rsid w:val="002E03D1"/>
    <w:rsid w:val="002E6B74"/>
    <w:rsid w:val="002E6FCA"/>
    <w:rsid w:val="002F4960"/>
    <w:rsid w:val="002F7B1E"/>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69DB"/>
    <w:rsid w:val="00420A38"/>
    <w:rsid w:val="00431B19"/>
    <w:rsid w:val="004520B3"/>
    <w:rsid w:val="004661AD"/>
    <w:rsid w:val="004737B9"/>
    <w:rsid w:val="004D1D85"/>
    <w:rsid w:val="004D3C3A"/>
    <w:rsid w:val="004D4B1B"/>
    <w:rsid w:val="004E1CD1"/>
    <w:rsid w:val="005107EB"/>
    <w:rsid w:val="00521345"/>
    <w:rsid w:val="00526DF0"/>
    <w:rsid w:val="00533883"/>
    <w:rsid w:val="00545CC4"/>
    <w:rsid w:val="00551FFF"/>
    <w:rsid w:val="005607A2"/>
    <w:rsid w:val="005622DA"/>
    <w:rsid w:val="0057198B"/>
    <w:rsid w:val="00573CFE"/>
    <w:rsid w:val="005969F2"/>
    <w:rsid w:val="00597FAE"/>
    <w:rsid w:val="005B32A3"/>
    <w:rsid w:val="005B7A6E"/>
    <w:rsid w:val="005C0103"/>
    <w:rsid w:val="005C0D44"/>
    <w:rsid w:val="005C566C"/>
    <w:rsid w:val="005C7E69"/>
    <w:rsid w:val="005D4961"/>
    <w:rsid w:val="005E262D"/>
    <w:rsid w:val="005F23D3"/>
    <w:rsid w:val="005F54AE"/>
    <w:rsid w:val="005F7E20"/>
    <w:rsid w:val="00605E43"/>
    <w:rsid w:val="006153BB"/>
    <w:rsid w:val="00633836"/>
    <w:rsid w:val="00650B5D"/>
    <w:rsid w:val="00651B8B"/>
    <w:rsid w:val="006652C3"/>
    <w:rsid w:val="00677FAA"/>
    <w:rsid w:val="00681DFF"/>
    <w:rsid w:val="0069073D"/>
    <w:rsid w:val="00691FD0"/>
    <w:rsid w:val="00692148"/>
    <w:rsid w:val="006A1A1E"/>
    <w:rsid w:val="006A35F1"/>
    <w:rsid w:val="006A7E45"/>
    <w:rsid w:val="006C5948"/>
    <w:rsid w:val="006F2A74"/>
    <w:rsid w:val="006F4F07"/>
    <w:rsid w:val="007055E4"/>
    <w:rsid w:val="007118F5"/>
    <w:rsid w:val="00712AA4"/>
    <w:rsid w:val="007146C4"/>
    <w:rsid w:val="00721AA1"/>
    <w:rsid w:val="00724B67"/>
    <w:rsid w:val="00746722"/>
    <w:rsid w:val="00753A4D"/>
    <w:rsid w:val="007547F8"/>
    <w:rsid w:val="00754C8A"/>
    <w:rsid w:val="00765622"/>
    <w:rsid w:val="00770B6C"/>
    <w:rsid w:val="00783FEA"/>
    <w:rsid w:val="007A395D"/>
    <w:rsid w:val="007C346C"/>
    <w:rsid w:val="007D7171"/>
    <w:rsid w:val="007E09BC"/>
    <w:rsid w:val="0080294B"/>
    <w:rsid w:val="008154A3"/>
    <w:rsid w:val="008217EB"/>
    <w:rsid w:val="00823AAA"/>
    <w:rsid w:val="0082480E"/>
    <w:rsid w:val="008456CE"/>
    <w:rsid w:val="00850293"/>
    <w:rsid w:val="00851373"/>
    <w:rsid w:val="00851BA6"/>
    <w:rsid w:val="0085654D"/>
    <w:rsid w:val="00860D67"/>
    <w:rsid w:val="00861160"/>
    <w:rsid w:val="0086654F"/>
    <w:rsid w:val="00875CB4"/>
    <w:rsid w:val="008A356F"/>
    <w:rsid w:val="008A4653"/>
    <w:rsid w:val="008A4717"/>
    <w:rsid w:val="008A50CC"/>
    <w:rsid w:val="008B5740"/>
    <w:rsid w:val="008B71A4"/>
    <w:rsid w:val="008C0003"/>
    <w:rsid w:val="008C768C"/>
    <w:rsid w:val="008D1694"/>
    <w:rsid w:val="008D4339"/>
    <w:rsid w:val="008D79CB"/>
    <w:rsid w:val="008F07BC"/>
    <w:rsid w:val="009165C0"/>
    <w:rsid w:val="0092692B"/>
    <w:rsid w:val="0093354F"/>
    <w:rsid w:val="00943E9C"/>
    <w:rsid w:val="00946CC3"/>
    <w:rsid w:val="00953F4D"/>
    <w:rsid w:val="00960BB8"/>
    <w:rsid w:val="00964F5C"/>
    <w:rsid w:val="009831C0"/>
    <w:rsid w:val="0099161D"/>
    <w:rsid w:val="009B5263"/>
    <w:rsid w:val="009B6B09"/>
    <w:rsid w:val="00A0389B"/>
    <w:rsid w:val="00A14383"/>
    <w:rsid w:val="00A33AE9"/>
    <w:rsid w:val="00A35999"/>
    <w:rsid w:val="00A446C9"/>
    <w:rsid w:val="00A635D6"/>
    <w:rsid w:val="00A765EA"/>
    <w:rsid w:val="00A8553A"/>
    <w:rsid w:val="00A930C1"/>
    <w:rsid w:val="00A93AED"/>
    <w:rsid w:val="00AD3C63"/>
    <w:rsid w:val="00AE1319"/>
    <w:rsid w:val="00AE144D"/>
    <w:rsid w:val="00AE34BB"/>
    <w:rsid w:val="00B226F2"/>
    <w:rsid w:val="00B274DF"/>
    <w:rsid w:val="00B30FDE"/>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B2787"/>
    <w:rsid w:val="00CC2DCC"/>
    <w:rsid w:val="00CC6E6E"/>
    <w:rsid w:val="00CF1871"/>
    <w:rsid w:val="00D019CE"/>
    <w:rsid w:val="00D1133E"/>
    <w:rsid w:val="00D17A34"/>
    <w:rsid w:val="00D26628"/>
    <w:rsid w:val="00D332B3"/>
    <w:rsid w:val="00D55207"/>
    <w:rsid w:val="00D7137B"/>
    <w:rsid w:val="00D81801"/>
    <w:rsid w:val="00D92B45"/>
    <w:rsid w:val="00D95962"/>
    <w:rsid w:val="00DC389B"/>
    <w:rsid w:val="00DE2FEE"/>
    <w:rsid w:val="00E00BE9"/>
    <w:rsid w:val="00E2096B"/>
    <w:rsid w:val="00E22A11"/>
    <w:rsid w:val="00E31E5C"/>
    <w:rsid w:val="00E44DD2"/>
    <w:rsid w:val="00E558C3"/>
    <w:rsid w:val="00E55927"/>
    <w:rsid w:val="00E55BC2"/>
    <w:rsid w:val="00E6222C"/>
    <w:rsid w:val="00E912A6"/>
    <w:rsid w:val="00E97303"/>
    <w:rsid w:val="00EA4844"/>
    <w:rsid w:val="00EA4D9C"/>
    <w:rsid w:val="00EA5A97"/>
    <w:rsid w:val="00EB75EE"/>
    <w:rsid w:val="00EC0DB9"/>
    <w:rsid w:val="00ED36FD"/>
    <w:rsid w:val="00EE1FF6"/>
    <w:rsid w:val="00EE4C1D"/>
    <w:rsid w:val="00EF3685"/>
    <w:rsid w:val="00F04350"/>
    <w:rsid w:val="00F133DB"/>
    <w:rsid w:val="00F159EB"/>
    <w:rsid w:val="00F23DCF"/>
    <w:rsid w:val="00F25BF4"/>
    <w:rsid w:val="00F267DB"/>
    <w:rsid w:val="00F36489"/>
    <w:rsid w:val="00F46F6F"/>
    <w:rsid w:val="00F60608"/>
    <w:rsid w:val="00F62217"/>
    <w:rsid w:val="00F90639"/>
    <w:rsid w:val="00FB17A9"/>
    <w:rsid w:val="00FB3932"/>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C54208A0-28E4-C94B-94BD-47ED75AB8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DCF"/>
    <w:rPr>
      <w:rFonts w:ascii="Times New Roman" w:eastAsia="Times New Roman" w:hAnsi="Times New Roman"/>
      <w:sz w:val="24"/>
      <w:szCs w:val="24"/>
      <w:lang w:val="da-DK" w:eastAsia="en-US"/>
    </w:rPr>
  </w:style>
  <w:style w:type="paragraph" w:styleId="Heading1">
    <w:name w:val="heading 1"/>
    <w:basedOn w:val="Normal"/>
    <w:next w:val="BodyText"/>
    <w:link w:val="Heading1Char"/>
    <w:qFormat/>
    <w:rsid w:val="000E5BA9"/>
    <w:pPr>
      <w:keepNext/>
      <w:numPr>
        <w:numId w:val="46"/>
      </w:numPr>
      <w:spacing w:before="240" w:after="240"/>
      <w:outlineLvl w:val="0"/>
    </w:pPr>
    <w:rPr>
      <w:rFonts w:ascii="Calibri" w:hAnsi="Calibri"/>
      <w:b/>
      <w:caps/>
      <w:color w:val="0070C0"/>
      <w:kern w:val="28"/>
      <w:lang w:eastAsia="de-DE"/>
    </w:rPr>
  </w:style>
  <w:style w:type="paragraph" w:styleId="Heading2">
    <w:name w:val="heading 2"/>
    <w:basedOn w:val="Heading1"/>
    <w:next w:val="BodyText"/>
    <w:link w:val="Heading2Char"/>
    <w:qFormat/>
    <w:rsid w:val="000E5BA9"/>
    <w:pPr>
      <w:numPr>
        <w:ilvl w:val="1"/>
      </w:numPr>
      <w:outlineLvl w:val="1"/>
    </w:pPr>
    <w:rPr>
      <w:caps w:val="0"/>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5BA9"/>
    <w:rPr>
      <w:rFonts w:cs="Calibri"/>
      <w:b/>
      <w:caps/>
      <w:color w:val="0070C0"/>
      <w:kern w:val="28"/>
      <w:sz w:val="22"/>
      <w:szCs w:val="22"/>
      <w:lang w:eastAsia="de-DE"/>
    </w:rPr>
  </w:style>
  <w:style w:type="character" w:customStyle="1" w:styleId="Heading2Char">
    <w:name w:val="Heading 2 Char"/>
    <w:link w:val="Heading2"/>
    <w:rsid w:val="000E5BA9"/>
    <w:rPr>
      <w:rFonts w:cs="Calibri"/>
      <w:b/>
      <w:color w:val="0070C0"/>
      <w:kern w:val="28"/>
      <w:sz w:val="22"/>
      <w:szCs w:val="22"/>
      <w:lang w:eastAsia="de-DE"/>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cs="Arial"/>
      <w:bCs/>
      <w:iCs/>
      <w:caps/>
    </w:rPr>
  </w:style>
  <w:style w:type="paragraph" w:styleId="TOC2">
    <w:name w:val="toc 2"/>
    <w:basedOn w:val="Normal"/>
    <w:next w:val="Normal"/>
    <w:uiPriority w:val="39"/>
    <w:rsid w:val="001F528A"/>
    <w:pPr>
      <w:tabs>
        <w:tab w:val="left" w:pos="1418"/>
        <w:tab w:val="right" w:pos="9639"/>
      </w:tabs>
      <w:spacing w:before="120"/>
      <w:ind w:left="1418" w:right="284" w:hanging="851"/>
    </w:pPr>
    <w:rPr>
      <w:bCs/>
      <w:szCs w:val="26"/>
    </w:rPr>
  </w:style>
  <w:style w:type="paragraph" w:styleId="TOC3">
    <w:name w:val="toc 3"/>
    <w:basedOn w:val="Normal"/>
    <w:next w:val="Normal"/>
    <w:uiPriority w:val="39"/>
    <w:rsid w:val="001F528A"/>
    <w:pPr>
      <w:tabs>
        <w:tab w:val="left" w:pos="2268"/>
        <w:tab w:val="right" w:pos="9639"/>
      </w:tabs>
      <w:ind w:left="2268" w:right="284" w:hanging="850"/>
    </w:pPr>
    <w:rPr>
      <w:rFonts w:ascii="Calibri" w:hAnsi="Calibr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b/>
      <w:caps/>
    </w:rPr>
  </w:style>
  <w:style w:type="paragraph" w:styleId="TOC5">
    <w:name w:val="toc 5"/>
    <w:basedOn w:val="Normal"/>
    <w:next w:val="Normal"/>
    <w:autoRedefine/>
    <w:semiHidden/>
    <w:rsid w:val="00960BB8"/>
    <w:pPr>
      <w:ind w:left="880"/>
    </w:pPr>
  </w:style>
  <w:style w:type="paragraph" w:styleId="TOC6">
    <w:name w:val="toc 6"/>
    <w:basedOn w:val="Normal"/>
    <w:next w:val="Normal"/>
    <w:autoRedefine/>
    <w:semiHidden/>
    <w:rsid w:val="00960BB8"/>
    <w:pPr>
      <w:ind w:left="1100"/>
    </w:p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hAnsiTheme="minorHAnsi"/>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Cs w:val="28"/>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NormalWeb">
    <w:name w:val="Normal (Web)"/>
    <w:basedOn w:val="Normal"/>
    <w:uiPriority w:val="99"/>
    <w:semiHidden/>
    <w:unhideWhenUsed/>
    <w:rsid w:val="00137DC2"/>
    <w:pPr>
      <w:spacing w:before="100" w:beforeAutospacing="1" w:after="100" w:afterAutospacing="1"/>
    </w:pPr>
    <w:rPr>
      <w:rFonts w:eastAsiaTheme="minorEastAsia"/>
    </w:rPr>
  </w:style>
  <w:style w:type="character" w:customStyle="1" w:styleId="UnresolvedMention1">
    <w:name w:val="Unresolved Mention1"/>
    <w:basedOn w:val="DefaultParagraphFont"/>
    <w:uiPriority w:val="99"/>
    <w:semiHidden/>
    <w:unhideWhenUsed/>
    <w:rsid w:val="00EE1F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8303021">
      <w:bodyDiv w:val="1"/>
      <w:marLeft w:val="0"/>
      <w:marRight w:val="0"/>
      <w:marTop w:val="0"/>
      <w:marBottom w:val="0"/>
      <w:divBdr>
        <w:top w:val="none" w:sz="0" w:space="0" w:color="auto"/>
        <w:left w:val="none" w:sz="0" w:space="0" w:color="auto"/>
        <w:bottom w:val="none" w:sz="0" w:space="0" w:color="auto"/>
        <w:right w:val="none" w:sz="0" w:space="0" w:color="auto"/>
      </w:divBdr>
    </w:div>
    <w:div w:id="1103646456">
      <w:bodyDiv w:val="1"/>
      <w:marLeft w:val="0"/>
      <w:marRight w:val="0"/>
      <w:marTop w:val="0"/>
      <w:marBottom w:val="0"/>
      <w:divBdr>
        <w:top w:val="none" w:sz="0" w:space="0" w:color="auto"/>
        <w:left w:val="none" w:sz="0" w:space="0" w:color="auto"/>
        <w:bottom w:val="none" w:sz="0" w:space="0" w:color="auto"/>
        <w:right w:val="none" w:sz="0" w:space="0" w:color="auto"/>
      </w:divBdr>
      <w:divsChild>
        <w:div w:id="579022736">
          <w:marLeft w:val="0"/>
          <w:marRight w:val="0"/>
          <w:marTop w:val="0"/>
          <w:marBottom w:val="0"/>
          <w:divBdr>
            <w:top w:val="none" w:sz="0" w:space="0" w:color="auto"/>
            <w:left w:val="none" w:sz="0" w:space="0" w:color="auto"/>
            <w:bottom w:val="none" w:sz="0" w:space="0" w:color="auto"/>
            <w:right w:val="none" w:sz="0" w:space="0" w:color="auto"/>
          </w:divBdr>
          <w:divsChild>
            <w:div w:id="1078944842">
              <w:marLeft w:val="0"/>
              <w:marRight w:val="0"/>
              <w:marTop w:val="0"/>
              <w:marBottom w:val="0"/>
              <w:divBdr>
                <w:top w:val="none" w:sz="0" w:space="0" w:color="auto"/>
                <w:left w:val="none" w:sz="0" w:space="0" w:color="auto"/>
                <w:bottom w:val="none" w:sz="0" w:space="0" w:color="auto"/>
                <w:right w:val="none" w:sz="0" w:space="0" w:color="auto"/>
              </w:divBdr>
              <w:divsChild>
                <w:div w:id="163421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013227">
      <w:bodyDiv w:val="1"/>
      <w:marLeft w:val="0"/>
      <w:marRight w:val="0"/>
      <w:marTop w:val="0"/>
      <w:marBottom w:val="0"/>
      <w:divBdr>
        <w:top w:val="none" w:sz="0" w:space="0" w:color="auto"/>
        <w:left w:val="none" w:sz="0" w:space="0" w:color="auto"/>
        <w:bottom w:val="none" w:sz="0" w:space="0" w:color="auto"/>
        <w:right w:val="none" w:sz="0" w:space="0" w:color="auto"/>
      </w:divBdr>
    </w:div>
    <w:div w:id="1893077991">
      <w:bodyDiv w:val="1"/>
      <w:marLeft w:val="0"/>
      <w:marRight w:val="0"/>
      <w:marTop w:val="0"/>
      <w:marBottom w:val="0"/>
      <w:divBdr>
        <w:top w:val="none" w:sz="0" w:space="0" w:color="auto"/>
        <w:left w:val="none" w:sz="0" w:space="0" w:color="auto"/>
        <w:bottom w:val="none" w:sz="0" w:space="0" w:color="auto"/>
        <w:right w:val="none" w:sz="0" w:space="0" w:color="auto"/>
      </w:divBdr>
    </w:div>
    <w:div w:id="1991054607">
      <w:bodyDiv w:val="1"/>
      <w:marLeft w:val="0"/>
      <w:marRight w:val="0"/>
      <w:marTop w:val="0"/>
      <w:marBottom w:val="0"/>
      <w:divBdr>
        <w:top w:val="none" w:sz="0" w:space="0" w:color="auto"/>
        <w:left w:val="none" w:sz="0" w:space="0" w:color="auto"/>
        <w:bottom w:val="none" w:sz="0" w:space="0" w:color="auto"/>
        <w:right w:val="none" w:sz="0" w:space="0" w:color="auto"/>
      </w:divBdr>
      <w:divsChild>
        <w:div w:id="1287203733">
          <w:marLeft w:val="0"/>
          <w:marRight w:val="0"/>
          <w:marTop w:val="0"/>
          <w:marBottom w:val="0"/>
          <w:divBdr>
            <w:top w:val="none" w:sz="0" w:space="0" w:color="auto"/>
            <w:left w:val="none" w:sz="0" w:space="0" w:color="auto"/>
            <w:bottom w:val="none" w:sz="0" w:space="0" w:color="auto"/>
            <w:right w:val="none" w:sz="0" w:space="0" w:color="auto"/>
          </w:divBdr>
          <w:divsChild>
            <w:div w:id="927815288">
              <w:marLeft w:val="0"/>
              <w:marRight w:val="0"/>
              <w:marTop w:val="0"/>
              <w:marBottom w:val="0"/>
              <w:divBdr>
                <w:top w:val="none" w:sz="0" w:space="0" w:color="auto"/>
                <w:left w:val="none" w:sz="0" w:space="0" w:color="auto"/>
                <w:bottom w:val="none" w:sz="0" w:space="0" w:color="auto"/>
                <w:right w:val="none" w:sz="0" w:space="0" w:color="auto"/>
              </w:divBdr>
              <w:divsChild>
                <w:div w:id="170709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7ADF3-9996-4D03-BB95-6EDA10E18B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E212DC-DCEC-4352-AB67-C6EF536EE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A12E0E-DFB8-4E9A-B867-1DEC7752975E}">
  <ds:schemaRefs>
    <ds:schemaRef ds:uri="http://schemas.microsoft.com/sharepoint/v3/contenttype/forms"/>
  </ds:schemaRefs>
</ds:datastoreItem>
</file>

<file path=customXml/itemProps4.xml><?xml version="1.0" encoding="utf-8"?>
<ds:datastoreItem xmlns:ds="http://schemas.openxmlformats.org/officeDocument/2006/customXml" ds:itemID="{43D3FA06-2823-40FA-B281-B6CDE9D31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1750</Words>
  <Characters>9978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Tom Southall</cp:lastModifiedBy>
  <cp:revision>9</cp:revision>
  <dcterms:created xsi:type="dcterms:W3CDTF">2020-02-10T15:20:00Z</dcterms:created>
  <dcterms:modified xsi:type="dcterms:W3CDTF">2020-02-15T14:08:00Z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