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6F508DD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230A11">
        <w:rPr>
          <w:rFonts w:ascii="Calibri" w:hAnsi="Calibri"/>
        </w:rPr>
        <w:t>4</w:t>
      </w:r>
      <w:r w:rsidRPr="007A395D">
        <w:rPr>
          <w:rFonts w:ascii="Calibri" w:hAnsi="Calibri"/>
        </w:rPr>
        <w:t>-</w:t>
      </w:r>
      <w:r w:rsidR="005C5765">
        <w:rPr>
          <w:rFonts w:ascii="Calibri" w:hAnsi="Calibri"/>
        </w:rPr>
        <w:t>3.1.2.5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C0F2BFA"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A01E1B" w:rsidRPr="00A01E1B">
        <w:rPr>
          <w:rFonts w:ascii="Wingdings 2" w:hAnsi="Wingdings 2" w:cs="Arial"/>
          <w:bCs/>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A01E1B" w:rsidRPr="00A01E1B">
        <w:rPr>
          <w:rFonts w:ascii="Wingdings 2" w:hAnsi="Wingdings 2" w:cs="Arial"/>
          <w:bCs/>
          <w:sz w:val="24"/>
          <w:szCs w:val="24"/>
        </w:rPr>
        <w:t></w:t>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76D012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5C5765">
        <w:rPr>
          <w:rFonts w:ascii="Calibri" w:hAnsi="Calibri"/>
        </w:rPr>
        <w:t>3.1</w:t>
      </w:r>
    </w:p>
    <w:p w14:paraId="1AB3E246" w14:textId="639E4B2A"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r w:rsidR="00A01E1B">
        <w:rPr>
          <w:rFonts w:ascii="Calibri" w:hAnsi="Calibri"/>
        </w:rPr>
        <w:t>Technical Knowledge and Sustainability / Task 3.1.2.3</w:t>
      </w:r>
      <w:r w:rsidRPr="007A395D">
        <w:rPr>
          <w:rFonts w:ascii="Calibri" w:hAnsi="Calibri"/>
        </w:rPr>
        <w:t>…………</w:t>
      </w:r>
    </w:p>
    <w:p w14:paraId="01FC5420" w14:textId="6AD502E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t>…</w:t>
      </w:r>
      <w:r w:rsidR="00A01E1B">
        <w:rPr>
          <w:rFonts w:ascii="Calibri" w:hAnsi="Calibri"/>
        </w:rPr>
        <w:t>Peter Dobson</w:t>
      </w:r>
      <w:r w:rsidR="0080294B" w:rsidRPr="007A395D">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5FAD672B" w:rsidR="00A446C9" w:rsidRPr="00605E43" w:rsidRDefault="004672B1" w:rsidP="00A446C9">
      <w:pPr>
        <w:pStyle w:val="Title"/>
        <w:rPr>
          <w:rFonts w:ascii="Calibri" w:hAnsi="Calibri"/>
          <w:color w:val="0070C0"/>
        </w:rPr>
      </w:pPr>
      <w:r>
        <w:rPr>
          <w:rFonts w:ascii="Calibri" w:hAnsi="Calibri"/>
          <w:color w:val="0070C0"/>
        </w:rPr>
        <w:t>Procurement</w:t>
      </w:r>
      <w:r w:rsidR="00207040">
        <w:rPr>
          <w:rFonts w:ascii="Calibri" w:hAnsi="Calibri"/>
          <w:color w:val="0070C0"/>
        </w:rPr>
        <w:t xml:space="preserve"> of</w:t>
      </w:r>
      <w:r w:rsidR="009862FC">
        <w:rPr>
          <w:rFonts w:ascii="Calibri" w:hAnsi="Calibri"/>
          <w:color w:val="0070C0"/>
        </w:rPr>
        <w:t xml:space="preserve"> solar modules</w:t>
      </w:r>
    </w:p>
    <w:p w14:paraId="0F258596" w14:textId="50FB6E37" w:rsidR="00A446C9" w:rsidRPr="00605E43" w:rsidRDefault="00A446C9" w:rsidP="00605E43">
      <w:pPr>
        <w:pStyle w:val="Heading1"/>
      </w:pPr>
      <w:r w:rsidRPr="00605E43">
        <w:t>Summary</w:t>
      </w:r>
    </w:p>
    <w:p w14:paraId="054777C2" w14:textId="4A9BB684" w:rsidR="009862FC" w:rsidRDefault="009862FC" w:rsidP="00B56BDF">
      <w:pPr>
        <w:pStyle w:val="BodyText"/>
        <w:rPr>
          <w:rFonts w:ascii="Calibri" w:hAnsi="Calibri"/>
        </w:rPr>
      </w:pPr>
      <w:r>
        <w:rPr>
          <w:rFonts w:ascii="Calibri" w:hAnsi="Calibri"/>
        </w:rPr>
        <w:t xml:space="preserve">This paper provides input to the draft guideline of what constitutes a marine solar panel, dealing with the area associated with </w:t>
      </w:r>
      <w:r w:rsidR="004672B1">
        <w:rPr>
          <w:rFonts w:ascii="Calibri" w:hAnsi="Calibri"/>
        </w:rPr>
        <w:t>the procurement</w:t>
      </w:r>
      <w:r>
        <w:rPr>
          <w:rFonts w:ascii="Calibri" w:hAnsi="Calibri"/>
        </w:rPr>
        <w:t xml:space="preserve">. </w:t>
      </w:r>
    </w:p>
    <w:p w14:paraId="3C575A26" w14:textId="77777777" w:rsidR="001C44A3" w:rsidRPr="00605E43" w:rsidRDefault="00BD4E6F" w:rsidP="00605E43">
      <w:pPr>
        <w:pStyle w:val="Heading2"/>
      </w:pPr>
      <w:r w:rsidRPr="00605E43">
        <w:t>Purpose</w:t>
      </w:r>
      <w:r w:rsidR="004D1D85" w:rsidRPr="00605E43">
        <w:t xml:space="preserve"> of the document</w:t>
      </w:r>
    </w:p>
    <w:p w14:paraId="0760238D" w14:textId="307819AC" w:rsidR="00347BD0" w:rsidRPr="007A395D" w:rsidRDefault="00347BD0" w:rsidP="00347BD0">
      <w:pPr>
        <w:pStyle w:val="BodyText"/>
        <w:rPr>
          <w:rFonts w:ascii="Calibri" w:hAnsi="Calibri"/>
        </w:rPr>
      </w:pPr>
      <w:r>
        <w:rPr>
          <w:rFonts w:ascii="Calibri" w:hAnsi="Calibri"/>
        </w:rPr>
        <w:t>The paper considers the aspects of procurement of marine solar module as input to the guideline.</w:t>
      </w:r>
    </w:p>
    <w:p w14:paraId="36D645BE" w14:textId="77777777" w:rsidR="00B56BDF" w:rsidRPr="007A395D" w:rsidRDefault="00B56BDF" w:rsidP="00605E43">
      <w:pPr>
        <w:pStyle w:val="Heading2"/>
      </w:pPr>
      <w:r w:rsidRPr="007A395D">
        <w:t>Related documents</w:t>
      </w:r>
    </w:p>
    <w:p w14:paraId="553E55ED" w14:textId="2130A687" w:rsidR="00E55927" w:rsidRPr="007A395D" w:rsidRDefault="00EA500C" w:rsidP="00E55927">
      <w:pPr>
        <w:pStyle w:val="BodyText"/>
        <w:rPr>
          <w:rFonts w:ascii="Calibri" w:hAnsi="Calibri"/>
        </w:rPr>
      </w:pPr>
      <w:r>
        <w:rPr>
          <w:rFonts w:ascii="Calibri" w:hAnsi="Calibri"/>
        </w:rPr>
        <w:t>Following the work progressed during ENG 13 on the working paper ENG 13-3.1.2.3 WP – What constitutes a good marine solar panel, the following are proposed sections for consideration by the task group during intersessional work.</w:t>
      </w:r>
    </w:p>
    <w:p w14:paraId="041E9135" w14:textId="03168433" w:rsidR="00315197" w:rsidRDefault="004672B1" w:rsidP="00315197">
      <w:pPr>
        <w:pStyle w:val="Heading1"/>
      </w:pPr>
      <w:r>
        <w:t>Procurement</w:t>
      </w:r>
    </w:p>
    <w:p w14:paraId="0DB8C8DE" w14:textId="02A4A4B1" w:rsidR="001E5850" w:rsidRDefault="000114BE" w:rsidP="001E5850">
      <w:pPr>
        <w:pStyle w:val="BodyText"/>
      </w:pPr>
      <w:r>
        <w:t xml:space="preserve">The process adopted for procurement will be different for each organisations, but this section provides information that should </w:t>
      </w:r>
      <w:r w:rsidR="008911AC">
        <w:t xml:space="preserve">not </w:t>
      </w:r>
      <w:r>
        <w:t>be proces</w:t>
      </w:r>
      <w:r w:rsidR="008911AC">
        <w:t>s dependant and yet beneficial to obtaining a high quality marine solar module.</w:t>
      </w:r>
    </w:p>
    <w:p w14:paraId="777D151D" w14:textId="3ED1B27A" w:rsidR="004672B1" w:rsidRDefault="004672B1" w:rsidP="008911AC">
      <w:pPr>
        <w:pStyle w:val="Heading2"/>
      </w:pPr>
      <w:r>
        <w:t>How to specify</w:t>
      </w:r>
    </w:p>
    <w:p w14:paraId="19B30842" w14:textId="4EAB5A71" w:rsidR="008911AC" w:rsidRDefault="008911AC" w:rsidP="008911AC">
      <w:pPr>
        <w:pStyle w:val="BodyText"/>
      </w:pPr>
      <w:r>
        <w:t>As with all items purchased, it is the communication and translation of the requirement</w:t>
      </w:r>
      <w:r w:rsidR="00B04A57">
        <w:t>s</w:t>
      </w:r>
      <w:r>
        <w:t xml:space="preserve"> that will determine the satisfaction of the product received. This is usually conveyed in some form of specification</w:t>
      </w:r>
      <w:r w:rsidR="00526E3D">
        <w:t>,</w:t>
      </w:r>
      <w:r>
        <w:t xml:space="preserve"> ideally capturing measurable desires, but sometimes </w:t>
      </w:r>
      <w:r w:rsidR="00526E3D">
        <w:t xml:space="preserve">these </w:t>
      </w:r>
      <w:r>
        <w:t xml:space="preserve">are dimensionless, such as “good build quality”. </w:t>
      </w:r>
      <w:r w:rsidR="00526E3D">
        <w:t>A sample specific</w:t>
      </w:r>
      <w:r w:rsidR="00B04A57">
        <w:t>ation is provided in Annex 1 for guidance on some of</w:t>
      </w:r>
      <w:r w:rsidR="00526E3D">
        <w:t xml:space="preserve"> the requirements that can be specified.</w:t>
      </w:r>
    </w:p>
    <w:p w14:paraId="11497D3D" w14:textId="511C77DC" w:rsidR="00526E3D" w:rsidRDefault="00526E3D" w:rsidP="008911AC">
      <w:pPr>
        <w:pStyle w:val="BodyText"/>
      </w:pPr>
      <w:r>
        <w:t>Even if selecting solar modules from a catalogue, it can be useful to capture a specification beforehand to aid in comparison.</w:t>
      </w:r>
    </w:p>
    <w:p w14:paraId="68BC3117" w14:textId="71E3BCE2" w:rsidR="008911AC" w:rsidRDefault="00526E3D" w:rsidP="00D81006">
      <w:pPr>
        <w:pStyle w:val="Heading2"/>
        <w:keepNext/>
      </w:pPr>
      <w:r>
        <w:t>Quantities</w:t>
      </w:r>
    </w:p>
    <w:p w14:paraId="5DD3BF91" w14:textId="554FF92F" w:rsidR="00D81006" w:rsidRDefault="00526E3D" w:rsidP="00526E3D">
      <w:pPr>
        <w:pStyle w:val="BodyText"/>
      </w:pPr>
      <w:r>
        <w:t>When purchasing solar modules</w:t>
      </w:r>
      <w:r w:rsidR="005A1CED">
        <w:t>,</w:t>
      </w:r>
      <w:r>
        <w:t xml:space="preserve"> quantity</w:t>
      </w:r>
      <w:r w:rsidR="005A1CED">
        <w:t xml:space="preserve"> significantly</w:t>
      </w:r>
      <w:r>
        <w:t xml:space="preserve"> influences the </w:t>
      </w:r>
      <w:r w:rsidR="005A1CED">
        <w:t xml:space="preserve">likelihood of achieving your specification. If the quantities are small then the only choices </w:t>
      </w:r>
      <w:r w:rsidR="00D81006">
        <w:t>may</w:t>
      </w:r>
      <w:r w:rsidR="005A1CED">
        <w:t xml:space="preserve"> be to select from a catalogue. </w:t>
      </w:r>
      <w:r w:rsidR="00D81006">
        <w:t>If the Wattage required is high, then t</w:t>
      </w:r>
      <w:r w:rsidR="005A1CED">
        <w:t xml:space="preserve">hese modules may well be of the high volume industrial units often </w:t>
      </w:r>
      <w:r w:rsidR="005A1CED">
        <w:lastRenderedPageBreak/>
        <w:t xml:space="preserve">used on solar </w:t>
      </w:r>
      <w:r w:rsidR="00D81006">
        <w:t>farms</w:t>
      </w:r>
      <w:r w:rsidR="005A1CED">
        <w:t xml:space="preserve">. </w:t>
      </w:r>
      <w:r w:rsidR="00D81006">
        <w:t xml:space="preserve">These can be high quality modules, </w:t>
      </w:r>
      <w:r w:rsidR="00B04A57">
        <w:t xml:space="preserve">as a result of </w:t>
      </w:r>
      <w:r w:rsidR="00D81006">
        <w:t>the mass production process</w:t>
      </w:r>
      <w:r w:rsidR="00B04A57">
        <w:t>es</w:t>
      </w:r>
      <w:r w:rsidR="00D81006">
        <w:t xml:space="preserve"> employed, </w:t>
      </w:r>
      <w:r w:rsidR="00B04A57">
        <w:t>but m</w:t>
      </w:r>
      <w:r w:rsidR="00D81006">
        <w:t>ay lack some features for a marine environment.</w:t>
      </w:r>
    </w:p>
    <w:p w14:paraId="4D23711C" w14:textId="1486BFF0" w:rsidR="00D81006" w:rsidRDefault="00D81006" w:rsidP="00526E3D">
      <w:pPr>
        <w:pStyle w:val="BodyText"/>
      </w:pPr>
      <w:r>
        <w:t>Low volume products may be available, but achieving a high quality may come at a premium cost and could be more difficult to achieve due to the batch nature of the assembly process. It will however likely have all the features specified for a marine environment.</w:t>
      </w:r>
    </w:p>
    <w:p w14:paraId="2079CBD7" w14:textId="376231E5" w:rsidR="00526E3D" w:rsidRDefault="00526E3D" w:rsidP="00526E3D">
      <w:pPr>
        <w:pStyle w:val="Heading2"/>
      </w:pPr>
      <w:r>
        <w:t>Delivery</w:t>
      </w:r>
    </w:p>
    <w:p w14:paraId="4D20F362" w14:textId="5C706534" w:rsidR="00526E3D" w:rsidRDefault="00D81006" w:rsidP="00526E3D">
      <w:pPr>
        <w:pStyle w:val="BodyText"/>
      </w:pPr>
      <w:r>
        <w:t xml:space="preserve">It has been highlighted earlier that micro cracking of </w:t>
      </w:r>
      <w:r w:rsidR="00B04A57">
        <w:t xml:space="preserve">solar </w:t>
      </w:r>
      <w:r>
        <w:t>cell</w:t>
      </w:r>
      <w:r w:rsidR="00B04A57">
        <w:t>s</w:t>
      </w:r>
      <w:r>
        <w:t xml:space="preserve"> often occurs during handling and transportation</w:t>
      </w:r>
      <w:r w:rsidR="00731A55">
        <w:t>.</w:t>
      </w:r>
      <w:r>
        <w:t xml:space="preserve"> </w:t>
      </w:r>
      <w:r w:rsidR="00731A55">
        <w:t xml:space="preserve">It is therefore important </w:t>
      </w:r>
      <w:r>
        <w:t xml:space="preserve">so ensuring effective packaging </w:t>
      </w:r>
      <w:r w:rsidR="00731A55">
        <w:t xml:space="preserve">is achieved </w:t>
      </w:r>
      <w:r>
        <w:t>to minimise vibration and shock loading</w:t>
      </w:r>
      <w:r w:rsidR="00731A55">
        <w:t>. In addition, the packaging and handling also need to avoid physical damage of a more catastrophic nature.</w:t>
      </w:r>
    </w:p>
    <w:p w14:paraId="68C96F32" w14:textId="66860317" w:rsidR="00731A55" w:rsidRPr="00526E3D" w:rsidRDefault="00731A55" w:rsidP="00526E3D">
      <w:pPr>
        <w:pStyle w:val="BodyText"/>
      </w:pPr>
      <w:r w:rsidRPr="00731A55">
        <w:rPr>
          <w:highlight w:val="yellow"/>
        </w:rPr>
        <w:t>Add photo f</w:t>
      </w:r>
      <w:r w:rsidR="00347BD0">
        <w:rPr>
          <w:highlight w:val="yellow"/>
        </w:rPr>
        <w:t>rom</w:t>
      </w:r>
      <w:r w:rsidRPr="00731A55">
        <w:rPr>
          <w:highlight w:val="yellow"/>
        </w:rPr>
        <w:t xml:space="preserve"> Peter S of damage </w:t>
      </w:r>
      <w:r w:rsidR="0067231F">
        <w:rPr>
          <w:highlight w:val="yellow"/>
        </w:rPr>
        <w:t xml:space="preserve">new </w:t>
      </w:r>
      <w:r w:rsidRPr="00731A55">
        <w:rPr>
          <w:highlight w:val="yellow"/>
        </w:rPr>
        <w:t>modules.</w:t>
      </w:r>
    </w:p>
    <w:p w14:paraId="0E87A1D3" w14:textId="7C038D12" w:rsidR="004672B1" w:rsidRDefault="00E10298" w:rsidP="004672B1">
      <w:pPr>
        <w:pStyle w:val="Heading1"/>
      </w:pPr>
      <w:r>
        <w:t xml:space="preserve">Product </w:t>
      </w:r>
      <w:r w:rsidR="004672B1">
        <w:t>Assessment</w:t>
      </w:r>
    </w:p>
    <w:p w14:paraId="735CDEAA" w14:textId="324067FA" w:rsidR="00E10298" w:rsidRDefault="0067231F" w:rsidP="0067231F">
      <w:pPr>
        <w:pStyle w:val="BodyText"/>
      </w:pPr>
      <w:r>
        <w:t>The initial phase of a product assessment happen during the review of the products specification</w:t>
      </w:r>
      <w:r w:rsidR="00FD300F">
        <w:t>s</w:t>
      </w:r>
      <w:r>
        <w:t xml:space="preserve"> against the requirements to see how closely these are achieved and what differences can be tolerated. After this, any assessment involves availability of physical products, either on loan, or after purchase. This can allow for assessment of quality and suitability for the environment, along with confirm</w:t>
      </w:r>
      <w:r w:rsidR="00FD300F">
        <w:t>ing</w:t>
      </w:r>
      <w:r>
        <w:t xml:space="preserve"> thing</w:t>
      </w:r>
      <w:r w:rsidR="00FD300F">
        <w:t>s</w:t>
      </w:r>
      <w:r>
        <w:t xml:space="preserve"> such as physical fit, mounting arrangement and connectivity.</w:t>
      </w:r>
    </w:p>
    <w:p w14:paraId="4C39BA79" w14:textId="54013DAB" w:rsidR="0067231F" w:rsidRDefault="0067231F" w:rsidP="0067231F">
      <w:pPr>
        <w:pStyle w:val="BodyText"/>
      </w:pPr>
      <w:r>
        <w:t>As for longer term performance such as, the ability to resist water ingress and provide the guaranteed output, these are almost impossible to assess, other than through a long term test</w:t>
      </w:r>
      <w:r w:rsidR="00FD300F">
        <w:t>s</w:t>
      </w:r>
      <w:r>
        <w:t xml:space="preserve">. However, such test may well prove pointless as the technology may well have moved on by the time </w:t>
      </w:r>
      <w:r w:rsidR="00FD300F">
        <w:t>the trials</w:t>
      </w:r>
      <w:r>
        <w:t xml:space="preserve"> are complete.</w:t>
      </w:r>
      <w:r w:rsidR="00FD300F">
        <w:t xml:space="preserve"> What these</w:t>
      </w:r>
      <w:r w:rsidR="007A49CB">
        <w:t xml:space="preserve"> test</w:t>
      </w:r>
      <w:r w:rsidR="00FD300F">
        <w:t>s</w:t>
      </w:r>
      <w:r w:rsidR="007A49CB">
        <w:t xml:space="preserve"> do provide is confidence in the </w:t>
      </w:r>
      <w:r w:rsidR="00FD300F">
        <w:t>supplier’s</w:t>
      </w:r>
      <w:r w:rsidR="007A49CB">
        <w:t xml:space="preserve"> product generally.</w:t>
      </w:r>
    </w:p>
    <w:p w14:paraId="0D3C35B4" w14:textId="629283EF" w:rsidR="004672B1" w:rsidRDefault="004672B1" w:rsidP="004672B1">
      <w:pPr>
        <w:pStyle w:val="Heading1"/>
      </w:pPr>
      <w:r>
        <w:t>Recycling and repurposing</w:t>
      </w:r>
    </w:p>
    <w:p w14:paraId="13D0239B" w14:textId="1F5FD76D" w:rsidR="004A4539" w:rsidRDefault="004A4539" w:rsidP="004A4539">
      <w:pPr>
        <w:pStyle w:val="BodyText"/>
      </w:pPr>
      <w:r>
        <w:t>Solar modules</w:t>
      </w:r>
      <w:r w:rsidR="00573AEE">
        <w:t>,</w:t>
      </w:r>
      <w:r>
        <w:t xml:space="preserve"> at the end of their life</w:t>
      </w:r>
      <w:r w:rsidR="00573AEE">
        <w:t>,</w:t>
      </w:r>
      <w:r>
        <w:t xml:space="preserve"> </w:t>
      </w:r>
      <w:r w:rsidR="00C87E1A">
        <w:t>are</w:t>
      </w:r>
      <w:r>
        <w:t xml:space="preserve"> </w:t>
      </w:r>
      <w:r w:rsidR="00C87E1A">
        <w:t>considered easy</w:t>
      </w:r>
      <w:r w:rsidR="00077FC9">
        <w:t xml:space="preserve"> to</w:t>
      </w:r>
      <w:r>
        <w:t xml:space="preserve"> </w:t>
      </w:r>
      <w:r w:rsidR="00077FC9">
        <w:t>recycle</w:t>
      </w:r>
      <w:r>
        <w:t>. The f</w:t>
      </w:r>
      <w:r w:rsidR="00FD300F">
        <w:t>r</w:t>
      </w:r>
      <w:r>
        <w:t xml:space="preserve">ame, whether aluminium or stainless steel can </w:t>
      </w:r>
      <w:r w:rsidR="00077FC9">
        <w:t>easily be separated</w:t>
      </w:r>
      <w:r w:rsidR="00497C63">
        <w:t>. The glass can be broken and collect</w:t>
      </w:r>
      <w:r w:rsidR="00FD300F">
        <w:t>ed</w:t>
      </w:r>
      <w:r w:rsidR="00497C63">
        <w:t xml:space="preserve">. </w:t>
      </w:r>
      <w:r w:rsidR="00077FC9">
        <w:t xml:space="preserve">The challenge is then around the laminate. This </w:t>
      </w:r>
      <w:r w:rsidR="00497C63">
        <w:t>requires heat to burn off the small amount of plastic</w:t>
      </w:r>
      <w:r w:rsidR="00573AEE">
        <w:t>,</w:t>
      </w:r>
      <w:r w:rsidR="00497C63">
        <w:t xml:space="preserve"> </w:t>
      </w:r>
      <w:r w:rsidR="00C87E1A">
        <w:t>leaving</w:t>
      </w:r>
      <w:r w:rsidR="00573AEE">
        <w:t xml:space="preserve"> </w:t>
      </w:r>
      <w:r w:rsidR="00497C63">
        <w:t xml:space="preserve">the </w:t>
      </w:r>
      <w:r w:rsidR="00573AEE">
        <w:t>silicon</w:t>
      </w:r>
      <w:r w:rsidR="00497C63">
        <w:t xml:space="preserve"> wafers </w:t>
      </w:r>
      <w:r w:rsidR="00C87E1A">
        <w:t>that can</w:t>
      </w:r>
      <w:r w:rsidR="00497C63">
        <w:t xml:space="preserve"> be etched away </w:t>
      </w:r>
      <w:r w:rsidR="00573AEE">
        <w:t xml:space="preserve">and </w:t>
      </w:r>
      <w:r w:rsidR="00497C63">
        <w:t xml:space="preserve">then </w:t>
      </w:r>
      <w:r w:rsidR="00573AEE">
        <w:t>smelted into an ingot for reuse.</w:t>
      </w:r>
      <w:r w:rsidR="00FD300F">
        <w:t xml:space="preserve"> This process does use significant en</w:t>
      </w:r>
      <w:r w:rsidR="00A8368E">
        <w:t>ergy and specialist equipment and is driven by the economics of material costs.</w:t>
      </w:r>
    </w:p>
    <w:p w14:paraId="71F8300D" w14:textId="1CF9E524" w:rsidR="00573AEE" w:rsidRDefault="00C87E1A" w:rsidP="004A4539">
      <w:pPr>
        <w:pStyle w:val="BodyText"/>
      </w:pPr>
      <w:r>
        <w:t>An alternative is to t</w:t>
      </w:r>
      <w:r w:rsidR="00731A55">
        <w:t>his is repurposing. Although a</w:t>
      </w:r>
      <w:r w:rsidR="00A8368E">
        <w:t xml:space="preserve"> solar module</w:t>
      </w:r>
      <w:r>
        <w:t xml:space="preserve"> may have reduced in </w:t>
      </w:r>
      <w:r w:rsidR="00A8368E">
        <w:t xml:space="preserve">power </w:t>
      </w:r>
      <w:r>
        <w:t xml:space="preserve">output, such that </w:t>
      </w:r>
      <w:r w:rsidR="00731A55">
        <w:t>it</w:t>
      </w:r>
      <w:r>
        <w:t xml:space="preserve"> considered unsuitable to provide sufficient </w:t>
      </w:r>
      <w:r w:rsidR="00A8368E">
        <w:t>energy</w:t>
      </w:r>
      <w:r>
        <w:t xml:space="preserve"> for AtoN, the module </w:t>
      </w:r>
      <w:r w:rsidR="00731A55">
        <w:t>will</w:t>
      </w:r>
      <w:r>
        <w:t xml:space="preserve"> continue to produce power. This allows the possibility of using old modules for other non-critical purposes</w:t>
      </w:r>
      <w:r w:rsidR="008D784F">
        <w:t xml:space="preserve"> or resale for private use</w:t>
      </w:r>
      <w:r>
        <w:t>.</w:t>
      </w:r>
      <w:r w:rsidR="00731A55">
        <w:t xml:space="preserve"> An example of this is </w:t>
      </w:r>
      <w:r w:rsidR="00731A55" w:rsidRPr="00731A55">
        <w:rPr>
          <w:highlight w:val="yellow"/>
        </w:rPr>
        <w:t>???</w:t>
      </w:r>
      <w:r w:rsidR="008D784F">
        <w:t xml:space="preserve"> Although this is become less appealing as the cost of new modules is so low.</w:t>
      </w:r>
    </w:p>
    <w:p w14:paraId="5B812765" w14:textId="7E3FFF58" w:rsidR="00C87E1A" w:rsidRDefault="00347BD0" w:rsidP="004A4539">
      <w:pPr>
        <w:pStyle w:val="BodyText"/>
      </w:pPr>
      <w:r>
        <w:rPr>
          <w:highlight w:val="yellow"/>
        </w:rPr>
        <w:t xml:space="preserve">Need a </w:t>
      </w:r>
      <w:r w:rsidR="00731A55" w:rsidRPr="00731A55">
        <w:rPr>
          <w:highlight w:val="yellow"/>
        </w:rPr>
        <w:t xml:space="preserve">photo. </w:t>
      </w:r>
    </w:p>
    <w:p w14:paraId="6A0859FE" w14:textId="77777777" w:rsidR="00C87E1A" w:rsidRDefault="00C87E1A" w:rsidP="004A4539">
      <w:pPr>
        <w:pStyle w:val="BodyText"/>
      </w:pPr>
    </w:p>
    <w:p w14:paraId="29DC5D17" w14:textId="77777777" w:rsidR="004672B1" w:rsidRDefault="004672B1" w:rsidP="004672B1">
      <w:pPr>
        <w:pStyle w:val="BodyText"/>
        <w:rPr>
          <w:rFonts w:ascii="Calibri" w:hAnsi="Calibri"/>
        </w:rPr>
      </w:pPr>
    </w:p>
    <w:p w14:paraId="42520286" w14:textId="1AFBCEA7" w:rsidR="002E49FD" w:rsidRDefault="002E49FD"/>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372FB5">
      <w:pPr>
        <w:pStyle w:val="Annex"/>
        <w:numPr>
          <w:ilvl w:val="0"/>
          <w:numId w:val="0"/>
        </w:numPr>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10A64E8F" w14:textId="4CD71266" w:rsidR="000005D3" w:rsidRDefault="00062ED5" w:rsidP="000005D3">
      <w:pPr>
        <w:pStyle w:val="Appendix"/>
        <w:rPr>
          <w:rFonts w:ascii="Calibri" w:hAnsi="Calibri"/>
        </w:rPr>
      </w:pPr>
      <w:r>
        <w:rPr>
          <w:rFonts w:ascii="Calibri" w:hAnsi="Calibri"/>
        </w:rPr>
        <w:lastRenderedPageBreak/>
        <w:t>Sample specification</w:t>
      </w:r>
    </w:p>
    <w:p w14:paraId="71E9A998" w14:textId="7523D682" w:rsidR="00E10298" w:rsidRDefault="00E10298" w:rsidP="00E10298">
      <w:pPr>
        <w:rPr>
          <w:lang w:eastAsia="en-US"/>
        </w:rPr>
      </w:pPr>
      <w:r>
        <w:rPr>
          <w:lang w:eastAsia="en-US"/>
        </w:rPr>
        <w:t xml:space="preserve">Below is a list of key parameters that </w:t>
      </w:r>
      <w:r w:rsidR="008D784F">
        <w:rPr>
          <w:lang w:eastAsia="en-US"/>
        </w:rPr>
        <w:t>could</w:t>
      </w:r>
      <w:r>
        <w:rPr>
          <w:lang w:eastAsia="en-US"/>
        </w:rPr>
        <w:t xml:space="preserve"> be included as part of a solar module specification.</w:t>
      </w:r>
    </w:p>
    <w:p w14:paraId="53F66208" w14:textId="77777777" w:rsidR="007A49CB" w:rsidRDefault="007A49CB" w:rsidP="00E10298">
      <w:pPr>
        <w:rPr>
          <w:lang w:eastAsia="en-US"/>
        </w:rPr>
      </w:pPr>
    </w:p>
    <w:tbl>
      <w:tblPr>
        <w:tblW w:w="10489" w:type="dxa"/>
        <w:tblInd w:w="-284" w:type="dxa"/>
        <w:tblLook w:val="04A0" w:firstRow="1" w:lastRow="0" w:firstColumn="1" w:lastColumn="0" w:noHBand="0" w:noVBand="1"/>
      </w:tblPr>
      <w:tblGrid>
        <w:gridCol w:w="5246"/>
        <w:gridCol w:w="1984"/>
        <w:gridCol w:w="3259"/>
      </w:tblGrid>
      <w:tr w:rsidR="007A49CB" w:rsidRPr="007A49CB" w14:paraId="4CA957E8" w14:textId="77777777" w:rsidTr="00372FB5">
        <w:trPr>
          <w:cantSplit/>
          <w:tblHeader/>
        </w:trPr>
        <w:tc>
          <w:tcPr>
            <w:tcW w:w="5246" w:type="dxa"/>
          </w:tcPr>
          <w:p w14:paraId="52EB0553" w14:textId="6583FE87" w:rsidR="007A49CB" w:rsidRPr="007A49CB" w:rsidRDefault="007A49CB" w:rsidP="007A49CB">
            <w:pPr>
              <w:pStyle w:val="BodyText"/>
              <w:jc w:val="center"/>
              <w:rPr>
                <w:rFonts w:ascii="Calibri" w:hAnsi="Calibri"/>
                <w:b/>
              </w:rPr>
            </w:pPr>
            <w:r w:rsidRPr="007A49CB">
              <w:rPr>
                <w:rFonts w:ascii="Calibri" w:hAnsi="Calibri"/>
                <w:b/>
              </w:rPr>
              <w:t>Parameter</w:t>
            </w:r>
          </w:p>
        </w:tc>
        <w:tc>
          <w:tcPr>
            <w:tcW w:w="1984" w:type="dxa"/>
          </w:tcPr>
          <w:p w14:paraId="1D38349F" w14:textId="65021B0E" w:rsidR="007A49CB" w:rsidRPr="007A49CB" w:rsidRDefault="007A49CB" w:rsidP="007A49CB">
            <w:pPr>
              <w:pStyle w:val="BodyText"/>
              <w:jc w:val="center"/>
              <w:rPr>
                <w:rFonts w:ascii="Calibri" w:hAnsi="Calibri"/>
                <w:b/>
              </w:rPr>
            </w:pPr>
            <w:r w:rsidRPr="007A49CB">
              <w:rPr>
                <w:rFonts w:ascii="Calibri" w:hAnsi="Calibri"/>
                <w:b/>
              </w:rPr>
              <w:t>Sample value</w:t>
            </w:r>
          </w:p>
        </w:tc>
        <w:tc>
          <w:tcPr>
            <w:tcW w:w="3259" w:type="dxa"/>
          </w:tcPr>
          <w:p w14:paraId="1E62BAEA" w14:textId="7EF422E7" w:rsidR="007A49CB" w:rsidRPr="007A49CB" w:rsidRDefault="007A49CB" w:rsidP="007A49CB">
            <w:pPr>
              <w:pStyle w:val="BodyText"/>
              <w:jc w:val="center"/>
              <w:rPr>
                <w:rFonts w:ascii="Calibri" w:hAnsi="Calibri"/>
                <w:b/>
              </w:rPr>
            </w:pPr>
            <w:r w:rsidRPr="007A49CB">
              <w:rPr>
                <w:rFonts w:ascii="Calibri" w:hAnsi="Calibri"/>
                <w:b/>
              </w:rPr>
              <w:t>Comments</w:t>
            </w:r>
          </w:p>
        </w:tc>
      </w:tr>
      <w:tr w:rsidR="007A49CB" w:rsidRPr="007A395D" w14:paraId="55830D2C" w14:textId="77777777" w:rsidTr="00372FB5">
        <w:trPr>
          <w:cantSplit/>
        </w:trPr>
        <w:tc>
          <w:tcPr>
            <w:tcW w:w="5246" w:type="dxa"/>
          </w:tcPr>
          <w:p w14:paraId="07523216" w14:textId="77777777" w:rsidR="007A49CB" w:rsidRDefault="007A49CB" w:rsidP="007A49CB">
            <w:pPr>
              <w:pStyle w:val="AppendixHeading1"/>
              <w:rPr>
                <w:lang w:eastAsia="en-US"/>
              </w:rPr>
            </w:pPr>
            <w:r>
              <w:rPr>
                <w:lang w:eastAsia="en-US"/>
              </w:rPr>
              <w:t>Electrical Characteristics</w:t>
            </w:r>
          </w:p>
          <w:p w14:paraId="77582678" w14:textId="526659C0" w:rsidR="007A49CB" w:rsidRDefault="007A49CB" w:rsidP="007A49CB">
            <w:pPr>
              <w:pStyle w:val="BodyText"/>
              <w:ind w:left="567"/>
              <w:rPr>
                <w:lang w:eastAsia="de-DE"/>
              </w:rPr>
            </w:pPr>
            <w:r>
              <w:rPr>
                <w:lang w:eastAsia="de-DE"/>
              </w:rPr>
              <w:t>Nominal power</w:t>
            </w:r>
            <w:r w:rsidR="008D784F">
              <w:rPr>
                <w:lang w:eastAsia="de-DE"/>
              </w:rPr>
              <w:t xml:space="preserve"> (@ STC)</w:t>
            </w:r>
          </w:p>
          <w:p w14:paraId="0BC8B771" w14:textId="77777777" w:rsidR="007A49CB" w:rsidRDefault="007A49CB" w:rsidP="007A49CB">
            <w:pPr>
              <w:pStyle w:val="BodyText"/>
              <w:ind w:left="567"/>
              <w:rPr>
                <w:lang w:eastAsia="de-DE"/>
              </w:rPr>
            </w:pPr>
            <w:r>
              <w:rPr>
                <w:lang w:eastAsia="de-DE"/>
              </w:rPr>
              <w:t>Nominal voltage</w:t>
            </w:r>
          </w:p>
          <w:p w14:paraId="2E32289E" w14:textId="77777777" w:rsidR="007A49CB" w:rsidRDefault="007A49CB" w:rsidP="007A49CB">
            <w:pPr>
              <w:pStyle w:val="BodyText"/>
              <w:ind w:left="567"/>
              <w:rPr>
                <w:lang w:eastAsia="de-DE"/>
              </w:rPr>
            </w:pPr>
            <w:r>
              <w:rPr>
                <w:lang w:eastAsia="de-DE"/>
              </w:rPr>
              <w:t>Open circuit voltage</w:t>
            </w:r>
          </w:p>
          <w:p w14:paraId="554D0293" w14:textId="77777777" w:rsidR="007A49CB" w:rsidRDefault="007A49CB" w:rsidP="007A49CB">
            <w:pPr>
              <w:pStyle w:val="BodyText"/>
              <w:ind w:left="567"/>
              <w:rPr>
                <w:lang w:eastAsia="de-DE"/>
              </w:rPr>
            </w:pPr>
            <w:r>
              <w:rPr>
                <w:lang w:eastAsia="de-DE"/>
              </w:rPr>
              <w:t>Short circuit current</w:t>
            </w:r>
          </w:p>
          <w:p w14:paraId="06689EB1" w14:textId="5CDE95E6" w:rsidR="007A49CB" w:rsidRDefault="008D784F" w:rsidP="007A49CB">
            <w:pPr>
              <w:pStyle w:val="BodyText"/>
              <w:ind w:left="567"/>
              <w:rPr>
                <w:lang w:eastAsia="de-DE"/>
              </w:rPr>
            </w:pPr>
            <w:r>
              <w:rPr>
                <w:lang w:eastAsia="de-DE"/>
              </w:rPr>
              <w:t>Module efficiency</w:t>
            </w:r>
          </w:p>
          <w:p w14:paraId="769CA53E" w14:textId="77777777" w:rsidR="007A49CB" w:rsidRDefault="007A49CB" w:rsidP="007A49CB">
            <w:pPr>
              <w:pStyle w:val="BodyText"/>
              <w:ind w:left="567"/>
              <w:rPr>
                <w:lang w:eastAsia="de-DE"/>
              </w:rPr>
            </w:pPr>
            <w:r>
              <w:rPr>
                <w:lang w:eastAsia="de-DE"/>
              </w:rPr>
              <w:t>Temperature coefficients</w:t>
            </w:r>
          </w:p>
          <w:p w14:paraId="727C3D85" w14:textId="77777777" w:rsidR="007A49CB" w:rsidRDefault="007A49CB" w:rsidP="007A49CB">
            <w:pPr>
              <w:pStyle w:val="BodyText"/>
              <w:ind w:left="1440"/>
              <w:rPr>
                <w:lang w:eastAsia="de-DE"/>
              </w:rPr>
            </w:pPr>
            <w:r>
              <w:rPr>
                <w:lang w:eastAsia="de-DE"/>
              </w:rPr>
              <w:t>Voc</w:t>
            </w:r>
          </w:p>
          <w:p w14:paraId="23511D37" w14:textId="77777777" w:rsidR="007A49CB" w:rsidRDefault="007A49CB" w:rsidP="007A49CB">
            <w:pPr>
              <w:pStyle w:val="BodyText"/>
              <w:ind w:left="1440"/>
              <w:rPr>
                <w:lang w:eastAsia="de-DE"/>
              </w:rPr>
            </w:pPr>
            <w:r>
              <w:rPr>
                <w:lang w:eastAsia="de-DE"/>
              </w:rPr>
              <w:t>Isc</w:t>
            </w:r>
          </w:p>
          <w:p w14:paraId="346305F9" w14:textId="77777777" w:rsidR="007A49CB" w:rsidRDefault="007A49CB" w:rsidP="007A49CB">
            <w:pPr>
              <w:pStyle w:val="BodyText"/>
              <w:ind w:left="1440"/>
              <w:rPr>
                <w:lang w:eastAsia="de-DE"/>
              </w:rPr>
            </w:pPr>
            <w:r>
              <w:rPr>
                <w:lang w:eastAsia="de-DE"/>
              </w:rPr>
              <w:t>Pmax</w:t>
            </w:r>
          </w:p>
          <w:p w14:paraId="179E4244" w14:textId="10DF4EAB" w:rsidR="00D8641F" w:rsidRPr="007A49CB" w:rsidRDefault="00D8641F" w:rsidP="00D8641F">
            <w:pPr>
              <w:pStyle w:val="BodyText"/>
              <w:ind w:left="567"/>
              <w:rPr>
                <w:lang w:eastAsia="de-DE"/>
              </w:rPr>
            </w:pPr>
            <w:r>
              <w:rPr>
                <w:lang w:eastAsia="de-DE"/>
              </w:rPr>
              <w:t>Leakage current</w:t>
            </w:r>
          </w:p>
        </w:tc>
        <w:tc>
          <w:tcPr>
            <w:tcW w:w="1984" w:type="dxa"/>
          </w:tcPr>
          <w:p w14:paraId="5EB74840" w14:textId="377CEE80" w:rsidR="007A49CB" w:rsidRPr="008449DD" w:rsidRDefault="007A49CB" w:rsidP="008449DD">
            <w:pPr>
              <w:pStyle w:val="BodyText"/>
              <w:spacing w:before="120"/>
              <w:jc w:val="center"/>
              <w:rPr>
                <w:rFonts w:cs="Arial"/>
                <w:b/>
                <w:caps/>
                <w:sz w:val="24"/>
                <w:lang w:eastAsia="en-US"/>
              </w:rPr>
            </w:pPr>
          </w:p>
          <w:p w14:paraId="47537A2F" w14:textId="71024F0E" w:rsidR="007A49CB" w:rsidRPr="008449DD" w:rsidRDefault="007A49CB" w:rsidP="008449DD">
            <w:pPr>
              <w:pStyle w:val="BodyText"/>
              <w:jc w:val="center"/>
            </w:pPr>
            <w:r w:rsidRPr="008449DD">
              <w:t>100W</w:t>
            </w:r>
          </w:p>
          <w:p w14:paraId="26A7FF05" w14:textId="77777777" w:rsidR="007A49CB" w:rsidRPr="008449DD" w:rsidRDefault="007A49CB" w:rsidP="008449DD">
            <w:pPr>
              <w:pStyle w:val="BodyText"/>
              <w:jc w:val="center"/>
            </w:pPr>
            <w:r w:rsidRPr="008449DD">
              <w:t>12V</w:t>
            </w:r>
          </w:p>
          <w:p w14:paraId="03A96992" w14:textId="0BFA2B10" w:rsidR="007A49CB" w:rsidRPr="008449DD" w:rsidRDefault="007A49CB" w:rsidP="008449DD">
            <w:pPr>
              <w:pStyle w:val="BodyText"/>
              <w:jc w:val="center"/>
            </w:pPr>
            <w:r w:rsidRPr="008449DD">
              <w:t>&lt;</w:t>
            </w:r>
            <w:r w:rsidR="008449DD" w:rsidRPr="008449DD">
              <w:t>20</w:t>
            </w:r>
            <w:r w:rsidRPr="008449DD">
              <w:t>V</w:t>
            </w:r>
          </w:p>
          <w:p w14:paraId="76C5C73F" w14:textId="77777777" w:rsidR="007A49CB" w:rsidRPr="008449DD" w:rsidRDefault="008449DD" w:rsidP="008449DD">
            <w:pPr>
              <w:pStyle w:val="BodyText"/>
              <w:jc w:val="center"/>
            </w:pPr>
            <w:r w:rsidRPr="008449DD">
              <w:t>&gt;5A</w:t>
            </w:r>
          </w:p>
          <w:p w14:paraId="60F5CEBB" w14:textId="77777777" w:rsidR="008449DD" w:rsidRPr="008449DD" w:rsidRDefault="008449DD" w:rsidP="008449DD">
            <w:pPr>
              <w:pStyle w:val="BodyText"/>
              <w:jc w:val="center"/>
            </w:pPr>
            <w:r w:rsidRPr="008449DD">
              <w:t>&gt;15%</w:t>
            </w:r>
          </w:p>
          <w:p w14:paraId="064002BD" w14:textId="77777777" w:rsidR="008449DD" w:rsidRPr="00D8641F" w:rsidRDefault="008449DD" w:rsidP="007A49CB">
            <w:pPr>
              <w:pStyle w:val="BodyText"/>
              <w:jc w:val="center"/>
            </w:pPr>
          </w:p>
          <w:p w14:paraId="6BC6A4F9" w14:textId="220967C3" w:rsidR="008449DD" w:rsidRDefault="00D8641F" w:rsidP="007A49CB">
            <w:pPr>
              <w:pStyle w:val="BodyText"/>
              <w:jc w:val="center"/>
            </w:pPr>
            <w:r w:rsidRPr="00D8641F">
              <w:t>-</w:t>
            </w:r>
            <w:r>
              <w:t xml:space="preserve">0.17 </w:t>
            </w:r>
            <w:r>
              <w:rPr>
                <w:rFonts w:cs="Arial"/>
              </w:rPr>
              <w:t>±</w:t>
            </w:r>
            <w:r>
              <w:t>0.01 V/</w:t>
            </w:r>
            <w:r>
              <w:rPr>
                <w:rFonts w:cs="Arial"/>
              </w:rPr>
              <w:t>°</w:t>
            </w:r>
            <w:r>
              <w:t>C</w:t>
            </w:r>
          </w:p>
          <w:p w14:paraId="0F0C7A1F" w14:textId="77777777" w:rsidR="00D8641F" w:rsidRDefault="00D8641F" w:rsidP="007A49CB">
            <w:pPr>
              <w:pStyle w:val="BodyText"/>
              <w:jc w:val="center"/>
            </w:pPr>
            <w:r>
              <w:t xml:space="preserve">3 </w:t>
            </w:r>
            <w:r>
              <w:rPr>
                <w:rFonts w:cs="Arial"/>
              </w:rPr>
              <w:t>±</w:t>
            </w:r>
            <w:r>
              <w:t xml:space="preserve"> 1 mA/</w:t>
            </w:r>
            <w:r>
              <w:rPr>
                <w:rFonts w:cs="Arial"/>
              </w:rPr>
              <w:t>°</w:t>
            </w:r>
            <w:r>
              <w:t>C</w:t>
            </w:r>
          </w:p>
          <w:p w14:paraId="1F2FCA71" w14:textId="77777777" w:rsidR="00D8641F" w:rsidRDefault="00E6341D" w:rsidP="007A49CB">
            <w:pPr>
              <w:pStyle w:val="BodyText"/>
              <w:jc w:val="center"/>
            </w:pPr>
            <w:r>
              <w:t xml:space="preserve">-0.4 </w:t>
            </w:r>
            <w:r>
              <w:rPr>
                <w:rFonts w:cs="Arial"/>
              </w:rPr>
              <w:t>±</w:t>
            </w:r>
            <w:r>
              <w:t>0.1%/</w:t>
            </w:r>
            <w:r>
              <w:rPr>
                <w:rFonts w:cs="Arial"/>
              </w:rPr>
              <w:t>°</w:t>
            </w:r>
            <w:r>
              <w:t>C</w:t>
            </w:r>
          </w:p>
          <w:p w14:paraId="2D60DC28" w14:textId="0B42E259" w:rsidR="00E6341D" w:rsidRPr="008449DD" w:rsidRDefault="00E6341D" w:rsidP="007A49CB">
            <w:pPr>
              <w:pStyle w:val="BodyText"/>
              <w:jc w:val="center"/>
              <w:rPr>
                <w:rFonts w:cs="Arial"/>
                <w:b/>
                <w:caps/>
                <w:sz w:val="24"/>
                <w:lang w:eastAsia="en-US"/>
              </w:rPr>
            </w:pPr>
            <w:r>
              <w:t>&lt;0.1</w:t>
            </w:r>
            <w:r>
              <w:rPr>
                <w:rFonts w:cs="Arial"/>
              </w:rPr>
              <w:t>µ</w:t>
            </w:r>
            <w:r>
              <w:t>A</w:t>
            </w:r>
          </w:p>
        </w:tc>
        <w:tc>
          <w:tcPr>
            <w:tcW w:w="3259" w:type="dxa"/>
          </w:tcPr>
          <w:p w14:paraId="6B91D2F3" w14:textId="77777777" w:rsidR="008D784F" w:rsidRPr="008449DD" w:rsidRDefault="008D784F" w:rsidP="008D784F">
            <w:pPr>
              <w:pStyle w:val="BodyText"/>
              <w:spacing w:before="120"/>
              <w:jc w:val="center"/>
              <w:rPr>
                <w:rFonts w:cs="Arial"/>
                <w:b/>
                <w:caps/>
                <w:sz w:val="24"/>
                <w:lang w:eastAsia="en-US"/>
              </w:rPr>
            </w:pPr>
          </w:p>
          <w:p w14:paraId="5456ACFC" w14:textId="20BB83D0" w:rsidR="008D784F" w:rsidRPr="008449DD" w:rsidRDefault="008D784F" w:rsidP="008D784F">
            <w:pPr>
              <w:pStyle w:val="BodyText"/>
              <w:jc w:val="center"/>
            </w:pPr>
          </w:p>
          <w:p w14:paraId="1C37315E" w14:textId="5523B174" w:rsidR="008D784F" w:rsidRPr="008449DD" w:rsidRDefault="008D784F" w:rsidP="008D784F">
            <w:pPr>
              <w:pStyle w:val="BodyText"/>
              <w:jc w:val="center"/>
            </w:pPr>
          </w:p>
          <w:p w14:paraId="0C6D9342" w14:textId="62D514C0" w:rsidR="008D784F" w:rsidRPr="008449DD" w:rsidRDefault="008D784F" w:rsidP="008D784F">
            <w:pPr>
              <w:pStyle w:val="BodyText"/>
              <w:jc w:val="center"/>
            </w:pPr>
          </w:p>
          <w:p w14:paraId="62B6EF9D" w14:textId="60076748" w:rsidR="008D784F" w:rsidRPr="008449DD" w:rsidRDefault="008D784F" w:rsidP="008D784F">
            <w:pPr>
              <w:pStyle w:val="BodyText"/>
              <w:jc w:val="center"/>
            </w:pPr>
          </w:p>
          <w:p w14:paraId="03CFC9F2" w14:textId="77777777" w:rsidR="007A49CB" w:rsidRPr="007A395D" w:rsidRDefault="007A49CB" w:rsidP="00A57EB7">
            <w:pPr>
              <w:pStyle w:val="BodyText"/>
              <w:rPr>
                <w:rFonts w:ascii="Calibri" w:hAnsi="Calibri"/>
              </w:rPr>
            </w:pPr>
          </w:p>
        </w:tc>
      </w:tr>
      <w:tr w:rsidR="007A49CB" w:rsidRPr="007A395D" w14:paraId="19065CBA" w14:textId="77777777" w:rsidTr="00372FB5">
        <w:trPr>
          <w:cantSplit/>
        </w:trPr>
        <w:tc>
          <w:tcPr>
            <w:tcW w:w="5246" w:type="dxa"/>
          </w:tcPr>
          <w:p w14:paraId="2531CA0C" w14:textId="77777777" w:rsidR="008449DD" w:rsidRDefault="008449DD" w:rsidP="008449DD">
            <w:pPr>
              <w:pStyle w:val="AppendixHeading1"/>
              <w:rPr>
                <w:lang w:eastAsia="en-US"/>
              </w:rPr>
            </w:pPr>
            <w:r>
              <w:rPr>
                <w:lang w:eastAsia="en-US"/>
              </w:rPr>
              <w:t>Electrical facilities</w:t>
            </w:r>
          </w:p>
          <w:p w14:paraId="0220E1B0" w14:textId="77777777" w:rsidR="008449DD" w:rsidRDefault="008449DD" w:rsidP="008449DD">
            <w:pPr>
              <w:pStyle w:val="BodyText"/>
              <w:ind w:left="567"/>
            </w:pPr>
            <w:r>
              <w:t>By-pass diodes</w:t>
            </w:r>
          </w:p>
          <w:p w14:paraId="427EE0AC" w14:textId="77777777" w:rsidR="008449DD" w:rsidRDefault="008449DD" w:rsidP="008449DD">
            <w:pPr>
              <w:pStyle w:val="BodyText"/>
              <w:ind w:left="567"/>
            </w:pPr>
            <w:r>
              <w:t>Blocking diodes</w:t>
            </w:r>
          </w:p>
          <w:p w14:paraId="34205952" w14:textId="77777777" w:rsidR="007A49CB" w:rsidRDefault="008449DD" w:rsidP="00E6341D">
            <w:pPr>
              <w:spacing w:after="120"/>
              <w:ind w:left="567"/>
            </w:pPr>
            <w:r>
              <w:t>Connectivity</w:t>
            </w:r>
          </w:p>
          <w:p w14:paraId="01BF8B55" w14:textId="77777777" w:rsidR="00E6341D" w:rsidRDefault="00E6341D" w:rsidP="00E6341D">
            <w:pPr>
              <w:pStyle w:val="BodyText"/>
              <w:ind w:left="567"/>
            </w:pPr>
          </w:p>
          <w:p w14:paraId="7E539E0A" w14:textId="77777777" w:rsidR="00E6341D" w:rsidRDefault="00E6341D" w:rsidP="00E6341D">
            <w:pPr>
              <w:pStyle w:val="BodyText"/>
              <w:ind w:left="567"/>
            </w:pPr>
            <w:r>
              <w:t>Cable</w:t>
            </w:r>
          </w:p>
          <w:p w14:paraId="7CCB8793" w14:textId="3223F940" w:rsidR="001610B5" w:rsidRDefault="001610B5" w:rsidP="00E6341D">
            <w:pPr>
              <w:pStyle w:val="BodyText"/>
              <w:ind w:left="567"/>
            </w:pPr>
            <w:r>
              <w:t>Junction box size</w:t>
            </w:r>
          </w:p>
          <w:p w14:paraId="291DDC46" w14:textId="77777777" w:rsidR="001610B5" w:rsidRDefault="001610B5" w:rsidP="00E6341D">
            <w:pPr>
              <w:pStyle w:val="BodyText"/>
              <w:ind w:left="567"/>
            </w:pPr>
          </w:p>
          <w:p w14:paraId="64130786" w14:textId="675BB27B" w:rsidR="001610B5" w:rsidRPr="008449DD" w:rsidRDefault="001610B5" w:rsidP="00E6341D">
            <w:pPr>
              <w:pStyle w:val="BodyText"/>
              <w:ind w:left="567"/>
            </w:pPr>
            <w:r>
              <w:t>Junction box attachment</w:t>
            </w:r>
          </w:p>
        </w:tc>
        <w:tc>
          <w:tcPr>
            <w:tcW w:w="1984" w:type="dxa"/>
          </w:tcPr>
          <w:p w14:paraId="3B0B0BA7" w14:textId="77777777" w:rsidR="00E6341D" w:rsidRPr="008449DD" w:rsidRDefault="00E6341D" w:rsidP="00E6341D">
            <w:pPr>
              <w:pStyle w:val="BodyText"/>
              <w:spacing w:before="120"/>
              <w:jc w:val="center"/>
              <w:rPr>
                <w:rFonts w:cs="Arial"/>
                <w:b/>
                <w:caps/>
                <w:sz w:val="24"/>
                <w:lang w:eastAsia="en-US"/>
              </w:rPr>
            </w:pPr>
          </w:p>
          <w:p w14:paraId="31CADD43" w14:textId="5057D01B" w:rsidR="00E6341D" w:rsidRPr="008449DD" w:rsidRDefault="00E6341D" w:rsidP="00E6341D">
            <w:pPr>
              <w:pStyle w:val="BodyText"/>
              <w:jc w:val="center"/>
            </w:pPr>
            <w:r>
              <w:t>Fitted</w:t>
            </w:r>
          </w:p>
          <w:p w14:paraId="4E9713C7" w14:textId="048837BF" w:rsidR="00E6341D" w:rsidRPr="008449DD" w:rsidRDefault="00E6341D" w:rsidP="00E6341D">
            <w:pPr>
              <w:pStyle w:val="BodyText"/>
              <w:jc w:val="center"/>
            </w:pPr>
            <w:r>
              <w:t>Fitted</w:t>
            </w:r>
          </w:p>
          <w:p w14:paraId="565F5594" w14:textId="77777777" w:rsidR="007A49CB" w:rsidRDefault="00E6341D" w:rsidP="00E6341D">
            <w:pPr>
              <w:pStyle w:val="BodyText"/>
              <w:jc w:val="center"/>
            </w:pPr>
            <w:r w:rsidRPr="00E6341D">
              <w:t>Latching MC4 IP65/ IP2x (mated/ unmated)</w:t>
            </w:r>
            <w:r>
              <w:t xml:space="preserve"> 2</w:t>
            </w:r>
            <w:r w:rsidR="00372FB5">
              <w:t xml:space="preserve"> </w:t>
            </w:r>
            <w:r w:rsidR="00372FB5">
              <w:rPr>
                <w:rFonts w:cs="Arial"/>
              </w:rPr>
              <w:t>±</w:t>
            </w:r>
            <w:r w:rsidR="00372FB5">
              <w:t>0.1</w:t>
            </w:r>
            <w:r>
              <w:t>m cable</w:t>
            </w:r>
          </w:p>
          <w:p w14:paraId="723EA0E6" w14:textId="376EB7FA" w:rsidR="001610B5" w:rsidRPr="008449DD" w:rsidRDefault="001610B5" w:rsidP="001610B5">
            <w:pPr>
              <w:pStyle w:val="BodyText"/>
              <w:jc w:val="center"/>
            </w:pPr>
            <w:r>
              <w:t>100mm x 100mm x 50</w:t>
            </w:r>
            <w:r w:rsidRPr="00372FB5">
              <w:t>mm</w:t>
            </w:r>
          </w:p>
          <w:p w14:paraId="49149970" w14:textId="2E2CD36C" w:rsidR="001610B5" w:rsidRPr="00E6341D" w:rsidRDefault="001610B5" w:rsidP="00E6341D">
            <w:pPr>
              <w:pStyle w:val="BodyText"/>
              <w:jc w:val="center"/>
            </w:pPr>
            <w:r>
              <w:t>Adhered to backing panel</w:t>
            </w:r>
          </w:p>
        </w:tc>
        <w:tc>
          <w:tcPr>
            <w:tcW w:w="3259" w:type="dxa"/>
          </w:tcPr>
          <w:p w14:paraId="364F3DE5" w14:textId="77777777" w:rsidR="007A49CB" w:rsidRPr="007A395D" w:rsidRDefault="007A49CB" w:rsidP="00A57EB7">
            <w:pPr>
              <w:pStyle w:val="BodyText"/>
              <w:rPr>
                <w:rFonts w:ascii="Calibri" w:hAnsi="Calibri"/>
              </w:rPr>
            </w:pPr>
          </w:p>
        </w:tc>
      </w:tr>
      <w:tr w:rsidR="007A49CB" w:rsidRPr="007A395D" w14:paraId="6BD5D488" w14:textId="77777777" w:rsidTr="00372FB5">
        <w:trPr>
          <w:cantSplit/>
        </w:trPr>
        <w:tc>
          <w:tcPr>
            <w:tcW w:w="5246" w:type="dxa"/>
          </w:tcPr>
          <w:p w14:paraId="0EA50D58" w14:textId="77777777" w:rsidR="008449DD" w:rsidRDefault="008449DD" w:rsidP="008449DD">
            <w:pPr>
              <w:pStyle w:val="AppendixHeading1"/>
              <w:rPr>
                <w:lang w:eastAsia="en-US"/>
              </w:rPr>
            </w:pPr>
            <w:r>
              <w:rPr>
                <w:lang w:eastAsia="en-US"/>
              </w:rPr>
              <w:t>Mechanical Characteristics</w:t>
            </w:r>
          </w:p>
          <w:p w14:paraId="6CFDA4AF" w14:textId="5749793F" w:rsidR="008449DD" w:rsidRDefault="008449DD" w:rsidP="008449DD">
            <w:pPr>
              <w:pStyle w:val="BodyText"/>
              <w:ind w:left="567"/>
            </w:pPr>
            <w:r>
              <w:t>Dimensions</w:t>
            </w:r>
          </w:p>
          <w:p w14:paraId="38BD589A" w14:textId="77777777" w:rsidR="001610B5" w:rsidRDefault="001610B5" w:rsidP="008449DD">
            <w:pPr>
              <w:pStyle w:val="BodyText"/>
              <w:ind w:left="567"/>
            </w:pPr>
          </w:p>
          <w:p w14:paraId="59A3C4DC" w14:textId="77777777" w:rsidR="008449DD" w:rsidRDefault="008449DD" w:rsidP="008449DD">
            <w:pPr>
              <w:pStyle w:val="BodyText"/>
              <w:ind w:left="567"/>
            </w:pPr>
            <w:r>
              <w:t>Mounting arrangement</w:t>
            </w:r>
          </w:p>
          <w:p w14:paraId="7AC40C5A" w14:textId="77777777" w:rsidR="008449DD" w:rsidRDefault="008449DD" w:rsidP="008449DD">
            <w:pPr>
              <w:pStyle w:val="BodyText"/>
              <w:ind w:left="567"/>
            </w:pPr>
            <w:r>
              <w:t>Weight</w:t>
            </w:r>
          </w:p>
          <w:p w14:paraId="7378ACED" w14:textId="428F4632" w:rsidR="007A49CB" w:rsidRPr="008449DD" w:rsidRDefault="008449DD" w:rsidP="008449DD">
            <w:pPr>
              <w:ind w:left="567"/>
            </w:pPr>
            <w:r>
              <w:t>Material</w:t>
            </w:r>
          </w:p>
        </w:tc>
        <w:tc>
          <w:tcPr>
            <w:tcW w:w="1984" w:type="dxa"/>
          </w:tcPr>
          <w:p w14:paraId="2FD3AD88" w14:textId="77777777" w:rsidR="00E6341D" w:rsidRPr="008449DD" w:rsidRDefault="00E6341D" w:rsidP="00E6341D">
            <w:pPr>
              <w:pStyle w:val="BodyText"/>
              <w:spacing w:before="120"/>
              <w:jc w:val="center"/>
              <w:rPr>
                <w:rFonts w:cs="Arial"/>
                <w:b/>
                <w:caps/>
                <w:sz w:val="24"/>
                <w:lang w:eastAsia="en-US"/>
              </w:rPr>
            </w:pPr>
          </w:p>
          <w:p w14:paraId="66B50961" w14:textId="798C16E7" w:rsidR="00E6341D" w:rsidRPr="008449DD" w:rsidRDefault="00372FB5" w:rsidP="00E6341D">
            <w:pPr>
              <w:pStyle w:val="BodyText"/>
              <w:jc w:val="center"/>
            </w:pPr>
            <w:r>
              <w:t>1600mm x 1000mm x 50</w:t>
            </w:r>
            <w:r w:rsidRPr="00372FB5">
              <w:t>mm</w:t>
            </w:r>
          </w:p>
          <w:p w14:paraId="40818E26" w14:textId="58745429" w:rsidR="001610B5" w:rsidRDefault="00A61114" w:rsidP="00E6341D">
            <w:pPr>
              <w:pStyle w:val="BodyText"/>
              <w:jc w:val="center"/>
            </w:pPr>
            <w:r>
              <w:t>Frameless</w:t>
            </w:r>
          </w:p>
          <w:p w14:paraId="4A35B94F" w14:textId="578C6813" w:rsidR="00E6341D" w:rsidRPr="008449DD" w:rsidRDefault="00372FB5" w:rsidP="00E6341D">
            <w:pPr>
              <w:pStyle w:val="BodyText"/>
              <w:jc w:val="center"/>
            </w:pPr>
            <w:r>
              <w:t>&lt; 12kg</w:t>
            </w:r>
          </w:p>
          <w:p w14:paraId="778EE4CC" w14:textId="409DBC6C" w:rsidR="007A49CB" w:rsidRPr="007A395D" w:rsidRDefault="00A61114" w:rsidP="007A49CB">
            <w:pPr>
              <w:pStyle w:val="BodyText"/>
              <w:jc w:val="center"/>
              <w:rPr>
                <w:rFonts w:ascii="Calibri" w:hAnsi="Calibri"/>
              </w:rPr>
            </w:pPr>
            <w:r w:rsidRPr="00A61114">
              <w:rPr>
                <w:rFonts w:ascii="Calibri" w:hAnsi="Calibri"/>
                <w:highlight w:val="yellow"/>
              </w:rPr>
              <w:t>??</w:t>
            </w:r>
          </w:p>
        </w:tc>
        <w:tc>
          <w:tcPr>
            <w:tcW w:w="3259" w:type="dxa"/>
          </w:tcPr>
          <w:p w14:paraId="3FEC6B1C" w14:textId="77777777" w:rsidR="007A49CB" w:rsidRPr="007A395D" w:rsidRDefault="007A49CB" w:rsidP="00A57EB7">
            <w:pPr>
              <w:pStyle w:val="BodyText"/>
              <w:rPr>
                <w:rFonts w:ascii="Calibri" w:hAnsi="Calibri"/>
              </w:rPr>
            </w:pPr>
          </w:p>
        </w:tc>
      </w:tr>
      <w:tr w:rsidR="008449DD" w:rsidRPr="007A395D" w14:paraId="6A28956C" w14:textId="77777777" w:rsidTr="00372FB5">
        <w:trPr>
          <w:cantSplit/>
        </w:trPr>
        <w:tc>
          <w:tcPr>
            <w:tcW w:w="5246" w:type="dxa"/>
          </w:tcPr>
          <w:p w14:paraId="723D780D" w14:textId="77777777" w:rsidR="008449DD" w:rsidRDefault="008449DD" w:rsidP="008449DD">
            <w:pPr>
              <w:pStyle w:val="AppendixHeading1"/>
              <w:rPr>
                <w:lang w:eastAsia="en-US"/>
              </w:rPr>
            </w:pPr>
            <w:r>
              <w:rPr>
                <w:lang w:eastAsia="en-US"/>
              </w:rPr>
              <w:t>Environmental characteristics</w:t>
            </w:r>
          </w:p>
          <w:p w14:paraId="3B336DA1" w14:textId="77777777" w:rsidR="008449DD" w:rsidRDefault="008449DD" w:rsidP="008449DD">
            <w:pPr>
              <w:pStyle w:val="BodyText"/>
              <w:ind w:left="567"/>
            </w:pPr>
            <w:r>
              <w:t>IP rating</w:t>
            </w:r>
          </w:p>
          <w:p w14:paraId="3F018A56" w14:textId="77777777" w:rsidR="008449DD" w:rsidRDefault="008449DD" w:rsidP="008449DD">
            <w:pPr>
              <w:pStyle w:val="BodyText"/>
              <w:ind w:left="567"/>
            </w:pPr>
            <w:r>
              <w:t>Max &amp; min operating temperature</w:t>
            </w:r>
          </w:p>
          <w:p w14:paraId="3924DEB5" w14:textId="77777777" w:rsidR="008449DD" w:rsidRDefault="008449DD" w:rsidP="008449DD">
            <w:pPr>
              <w:pStyle w:val="BodyText"/>
              <w:ind w:left="567"/>
            </w:pPr>
            <w:r>
              <w:t>Humidity</w:t>
            </w:r>
          </w:p>
          <w:p w14:paraId="4052A70D" w14:textId="77777777" w:rsidR="008449DD" w:rsidRDefault="008449DD" w:rsidP="008449DD">
            <w:pPr>
              <w:pStyle w:val="BodyText"/>
              <w:ind w:left="567"/>
            </w:pPr>
            <w:r>
              <w:t>Shock &amp; vibration</w:t>
            </w:r>
          </w:p>
          <w:p w14:paraId="19D51750" w14:textId="61C54E89" w:rsidR="00A61114" w:rsidRDefault="00A61114" w:rsidP="008449DD">
            <w:pPr>
              <w:pStyle w:val="BodyText"/>
              <w:ind w:left="567"/>
            </w:pPr>
            <w:r>
              <w:t>Corrosion class</w:t>
            </w:r>
          </w:p>
        </w:tc>
        <w:tc>
          <w:tcPr>
            <w:tcW w:w="1984" w:type="dxa"/>
          </w:tcPr>
          <w:p w14:paraId="47E40F47" w14:textId="77777777" w:rsidR="00372FB5" w:rsidRPr="008449DD" w:rsidRDefault="00372FB5" w:rsidP="00372FB5">
            <w:pPr>
              <w:pStyle w:val="BodyText"/>
              <w:spacing w:before="120"/>
              <w:jc w:val="center"/>
              <w:rPr>
                <w:rFonts w:cs="Arial"/>
                <w:b/>
                <w:caps/>
                <w:sz w:val="24"/>
                <w:lang w:eastAsia="en-US"/>
              </w:rPr>
            </w:pPr>
          </w:p>
          <w:p w14:paraId="132B005F" w14:textId="33F45C78" w:rsidR="00372FB5" w:rsidRPr="008449DD" w:rsidRDefault="00372FB5" w:rsidP="00372FB5">
            <w:pPr>
              <w:pStyle w:val="BodyText"/>
              <w:jc w:val="center"/>
            </w:pPr>
            <w:r>
              <w:t>I</w:t>
            </w:r>
            <w:r w:rsidR="001610B5">
              <w:t>P65</w:t>
            </w:r>
          </w:p>
          <w:p w14:paraId="73B9ED5D" w14:textId="4952153A" w:rsidR="00372FB5" w:rsidRPr="008449DD" w:rsidRDefault="00372FB5" w:rsidP="00372FB5">
            <w:pPr>
              <w:pStyle w:val="BodyText"/>
              <w:jc w:val="center"/>
            </w:pPr>
            <w:r>
              <w:t>70</w:t>
            </w:r>
            <w:r>
              <w:rPr>
                <w:rFonts w:cs="Arial"/>
              </w:rPr>
              <w:t>°</w:t>
            </w:r>
            <w:r>
              <w:t>C to -10</w:t>
            </w:r>
            <w:r>
              <w:rPr>
                <w:rFonts w:cs="Arial"/>
              </w:rPr>
              <w:t>°</w:t>
            </w:r>
            <w:r>
              <w:t>C</w:t>
            </w:r>
          </w:p>
          <w:p w14:paraId="38540188" w14:textId="77777777" w:rsidR="008449DD" w:rsidRDefault="00372FB5" w:rsidP="007A49CB">
            <w:pPr>
              <w:pStyle w:val="BodyText"/>
              <w:jc w:val="center"/>
              <w:rPr>
                <w:rFonts w:ascii="Calibri" w:hAnsi="Calibri"/>
              </w:rPr>
            </w:pPr>
            <w:r w:rsidRPr="00372FB5">
              <w:rPr>
                <w:rFonts w:ascii="Calibri" w:hAnsi="Calibri"/>
              </w:rPr>
              <w:t>100% condensing</w:t>
            </w:r>
          </w:p>
          <w:p w14:paraId="748527DA" w14:textId="77777777" w:rsidR="00372FB5" w:rsidRDefault="00372FB5" w:rsidP="007A49CB">
            <w:pPr>
              <w:pStyle w:val="BodyText"/>
              <w:jc w:val="center"/>
              <w:rPr>
                <w:rFonts w:ascii="Calibri" w:hAnsi="Calibri"/>
              </w:rPr>
            </w:pPr>
            <w:r w:rsidRPr="00A61114">
              <w:rPr>
                <w:rFonts w:ascii="Calibri" w:hAnsi="Calibri"/>
                <w:highlight w:val="yellow"/>
              </w:rPr>
              <w:t>??</w:t>
            </w:r>
          </w:p>
          <w:p w14:paraId="1EEC2205" w14:textId="3255CDF7" w:rsidR="00A61114" w:rsidRPr="007A395D" w:rsidRDefault="00A61114" w:rsidP="007A49CB">
            <w:pPr>
              <w:pStyle w:val="BodyText"/>
              <w:jc w:val="center"/>
              <w:rPr>
                <w:rFonts w:ascii="Calibri" w:hAnsi="Calibri"/>
              </w:rPr>
            </w:pPr>
            <w:r w:rsidRPr="00A61114">
              <w:rPr>
                <w:rFonts w:ascii="Calibri" w:hAnsi="Calibri"/>
                <w:highlight w:val="yellow"/>
              </w:rPr>
              <w:t>??</w:t>
            </w:r>
          </w:p>
        </w:tc>
        <w:tc>
          <w:tcPr>
            <w:tcW w:w="3259" w:type="dxa"/>
          </w:tcPr>
          <w:p w14:paraId="63E1D801" w14:textId="77777777" w:rsidR="008449DD" w:rsidRPr="007A395D" w:rsidRDefault="008449DD" w:rsidP="00A57EB7">
            <w:pPr>
              <w:pStyle w:val="BodyText"/>
              <w:rPr>
                <w:rFonts w:ascii="Calibri" w:hAnsi="Calibri"/>
              </w:rPr>
            </w:pPr>
          </w:p>
        </w:tc>
      </w:tr>
      <w:tr w:rsidR="008449DD" w:rsidRPr="007A395D" w14:paraId="0F02C403" w14:textId="77777777" w:rsidTr="00372FB5">
        <w:trPr>
          <w:cantSplit/>
        </w:trPr>
        <w:tc>
          <w:tcPr>
            <w:tcW w:w="5246" w:type="dxa"/>
          </w:tcPr>
          <w:p w14:paraId="161934AB" w14:textId="77777777" w:rsidR="008449DD" w:rsidRDefault="008449DD" w:rsidP="008449DD">
            <w:pPr>
              <w:pStyle w:val="AppendixHeading1"/>
              <w:rPr>
                <w:lang w:eastAsia="en-US"/>
              </w:rPr>
            </w:pPr>
            <w:r>
              <w:rPr>
                <w:lang w:eastAsia="en-US"/>
              </w:rPr>
              <w:lastRenderedPageBreak/>
              <w:t>Environmental Loadings</w:t>
            </w:r>
          </w:p>
          <w:p w14:paraId="60062F6E" w14:textId="77777777" w:rsidR="008449DD" w:rsidRDefault="008449DD" w:rsidP="008449DD">
            <w:pPr>
              <w:pStyle w:val="BodyText"/>
              <w:ind w:left="567"/>
            </w:pPr>
            <w:r>
              <w:t>Maximum wind loading</w:t>
            </w:r>
          </w:p>
          <w:p w14:paraId="68566859" w14:textId="77777777" w:rsidR="008449DD" w:rsidRDefault="008449DD" w:rsidP="008449DD">
            <w:pPr>
              <w:pStyle w:val="BodyText"/>
              <w:ind w:left="567"/>
            </w:pPr>
            <w:r>
              <w:t>Maximum snow loading</w:t>
            </w:r>
          </w:p>
          <w:p w14:paraId="3B76395A" w14:textId="4F739324" w:rsidR="008449DD" w:rsidRDefault="008449DD" w:rsidP="008449DD">
            <w:pPr>
              <w:pStyle w:val="BodyText"/>
              <w:ind w:left="567"/>
            </w:pPr>
            <w:r>
              <w:t>Maximum structural deflection</w:t>
            </w:r>
          </w:p>
        </w:tc>
        <w:tc>
          <w:tcPr>
            <w:tcW w:w="1984" w:type="dxa"/>
          </w:tcPr>
          <w:p w14:paraId="2D4F71D6" w14:textId="77777777" w:rsidR="00372FB5" w:rsidRPr="008449DD" w:rsidRDefault="00372FB5" w:rsidP="00372FB5">
            <w:pPr>
              <w:pStyle w:val="BodyText"/>
              <w:spacing w:before="120"/>
              <w:jc w:val="center"/>
              <w:rPr>
                <w:rFonts w:cs="Arial"/>
                <w:b/>
                <w:caps/>
                <w:sz w:val="24"/>
                <w:lang w:eastAsia="en-US"/>
              </w:rPr>
            </w:pPr>
          </w:p>
          <w:p w14:paraId="5BCEEC97" w14:textId="072B00C8" w:rsidR="00372FB5" w:rsidRPr="008449DD" w:rsidRDefault="00372FB5" w:rsidP="00372FB5">
            <w:pPr>
              <w:pStyle w:val="BodyText"/>
              <w:jc w:val="center"/>
            </w:pPr>
            <w:r w:rsidRPr="00A61114">
              <w:rPr>
                <w:highlight w:val="yellow"/>
              </w:rPr>
              <w:t>???</w:t>
            </w:r>
          </w:p>
          <w:p w14:paraId="2C57527F" w14:textId="11AF4E6D" w:rsidR="00372FB5" w:rsidRPr="008449DD" w:rsidRDefault="00372FB5" w:rsidP="00372FB5">
            <w:pPr>
              <w:pStyle w:val="BodyText"/>
              <w:jc w:val="center"/>
            </w:pPr>
            <w:r w:rsidRPr="00A61114">
              <w:rPr>
                <w:highlight w:val="yellow"/>
              </w:rPr>
              <w:t>???</w:t>
            </w:r>
          </w:p>
          <w:p w14:paraId="4182F488" w14:textId="3CC8E8C7" w:rsidR="008449DD" w:rsidRPr="007A395D" w:rsidRDefault="00372FB5" w:rsidP="007A49CB">
            <w:pPr>
              <w:pStyle w:val="BodyText"/>
              <w:jc w:val="center"/>
              <w:rPr>
                <w:rFonts w:ascii="Calibri" w:hAnsi="Calibri"/>
              </w:rPr>
            </w:pPr>
            <w:r w:rsidRPr="00A61114">
              <w:rPr>
                <w:rFonts w:ascii="Calibri" w:hAnsi="Calibri"/>
                <w:highlight w:val="yellow"/>
              </w:rPr>
              <w:t>&lt;50mm</w:t>
            </w:r>
          </w:p>
        </w:tc>
        <w:tc>
          <w:tcPr>
            <w:tcW w:w="3259" w:type="dxa"/>
          </w:tcPr>
          <w:p w14:paraId="57EBE025" w14:textId="77777777" w:rsidR="008449DD" w:rsidRPr="007A395D" w:rsidRDefault="008449DD" w:rsidP="00A57EB7">
            <w:pPr>
              <w:pStyle w:val="BodyText"/>
              <w:rPr>
                <w:rFonts w:ascii="Calibri" w:hAnsi="Calibri"/>
              </w:rPr>
            </w:pPr>
          </w:p>
        </w:tc>
      </w:tr>
      <w:tr w:rsidR="007A49CB" w:rsidRPr="007A395D" w14:paraId="103B93E0" w14:textId="77777777" w:rsidTr="00372FB5">
        <w:trPr>
          <w:cantSplit/>
        </w:trPr>
        <w:tc>
          <w:tcPr>
            <w:tcW w:w="5246" w:type="dxa"/>
          </w:tcPr>
          <w:p w14:paraId="702CDBBC" w14:textId="77777777" w:rsidR="008449DD" w:rsidRDefault="008449DD" w:rsidP="008449DD">
            <w:pPr>
              <w:pStyle w:val="AppendixHeading1"/>
              <w:rPr>
                <w:lang w:eastAsia="en-US"/>
              </w:rPr>
            </w:pPr>
            <w:r>
              <w:rPr>
                <w:lang w:eastAsia="en-US"/>
              </w:rPr>
              <w:t>Warrantees</w:t>
            </w:r>
          </w:p>
          <w:p w14:paraId="03F6B176" w14:textId="77777777" w:rsidR="008449DD" w:rsidRDefault="008449DD" w:rsidP="008449DD">
            <w:pPr>
              <w:pStyle w:val="BodyText"/>
              <w:ind w:left="567"/>
            </w:pPr>
            <w:r>
              <w:t>Service life</w:t>
            </w:r>
          </w:p>
          <w:p w14:paraId="2A02C094" w14:textId="77777777" w:rsidR="008449DD" w:rsidRDefault="008449DD" w:rsidP="008449DD">
            <w:pPr>
              <w:pStyle w:val="BodyText"/>
              <w:ind w:left="567"/>
            </w:pPr>
            <w:r>
              <w:t>Material warrantee</w:t>
            </w:r>
          </w:p>
          <w:p w14:paraId="46A2B6E5" w14:textId="77777777" w:rsidR="008449DD" w:rsidRDefault="008449DD" w:rsidP="008449DD">
            <w:pPr>
              <w:pStyle w:val="BodyText"/>
              <w:ind w:left="567"/>
              <w:rPr>
                <w:lang w:eastAsia="de-DE"/>
              </w:rPr>
            </w:pPr>
            <w:r>
              <w:rPr>
                <w:lang w:eastAsia="de-DE"/>
              </w:rPr>
              <w:t>Warranted output power</w:t>
            </w:r>
          </w:p>
          <w:p w14:paraId="322BD740" w14:textId="38B8BAA5" w:rsidR="007A49CB" w:rsidRPr="008449DD" w:rsidRDefault="007A49CB" w:rsidP="008449DD">
            <w:pPr>
              <w:pStyle w:val="BodyText"/>
              <w:ind w:left="567"/>
              <w:rPr>
                <w:lang w:eastAsia="de-DE"/>
              </w:rPr>
            </w:pPr>
          </w:p>
        </w:tc>
        <w:tc>
          <w:tcPr>
            <w:tcW w:w="1984" w:type="dxa"/>
          </w:tcPr>
          <w:p w14:paraId="0DAC388F" w14:textId="77777777" w:rsidR="00372FB5" w:rsidRPr="008449DD" w:rsidRDefault="00372FB5" w:rsidP="00372FB5">
            <w:pPr>
              <w:pStyle w:val="BodyText"/>
              <w:spacing w:before="120"/>
              <w:jc w:val="center"/>
              <w:rPr>
                <w:rFonts w:cs="Arial"/>
                <w:b/>
                <w:caps/>
                <w:sz w:val="24"/>
                <w:lang w:eastAsia="en-US"/>
              </w:rPr>
            </w:pPr>
          </w:p>
          <w:p w14:paraId="23026FD6" w14:textId="4978C76A" w:rsidR="00372FB5" w:rsidRPr="008449DD" w:rsidRDefault="00372FB5" w:rsidP="00372FB5">
            <w:pPr>
              <w:pStyle w:val="BodyText"/>
              <w:jc w:val="center"/>
            </w:pPr>
            <w:r>
              <w:t>20 year</w:t>
            </w:r>
          </w:p>
          <w:p w14:paraId="2F892CD3" w14:textId="7DDE32C2" w:rsidR="00372FB5" w:rsidRPr="008449DD" w:rsidRDefault="00372FB5" w:rsidP="00372FB5">
            <w:pPr>
              <w:pStyle w:val="BodyText"/>
              <w:jc w:val="center"/>
            </w:pPr>
            <w:r>
              <w:t>10 years</w:t>
            </w:r>
          </w:p>
          <w:p w14:paraId="5914B54A" w14:textId="4EBFB269" w:rsidR="007A49CB" w:rsidRDefault="00A61114" w:rsidP="007A49CB">
            <w:pPr>
              <w:pStyle w:val="BodyText"/>
              <w:jc w:val="center"/>
              <w:rPr>
                <w:rFonts w:ascii="Calibri" w:hAnsi="Calibri"/>
              </w:rPr>
            </w:pPr>
            <w:r>
              <w:rPr>
                <w:rFonts w:ascii="Calibri" w:hAnsi="Calibri"/>
              </w:rPr>
              <w:t>9</w:t>
            </w:r>
            <w:r w:rsidR="00372FB5">
              <w:rPr>
                <w:rFonts w:ascii="Calibri" w:hAnsi="Calibri"/>
              </w:rPr>
              <w:t>0% of nominal</w:t>
            </w:r>
            <w:r>
              <w:rPr>
                <w:rFonts w:ascii="Calibri" w:hAnsi="Calibri"/>
              </w:rPr>
              <w:t xml:space="preserve"> after 10 years</w:t>
            </w:r>
          </w:p>
          <w:p w14:paraId="56ED92FB" w14:textId="2202C3C0" w:rsidR="00372FB5" w:rsidRPr="007A395D" w:rsidRDefault="00A61114" w:rsidP="00A61114">
            <w:pPr>
              <w:pStyle w:val="BodyText"/>
              <w:jc w:val="center"/>
              <w:rPr>
                <w:rFonts w:ascii="Calibri" w:hAnsi="Calibri"/>
              </w:rPr>
            </w:pPr>
            <w:r>
              <w:rPr>
                <w:rFonts w:ascii="Calibri" w:hAnsi="Calibri"/>
              </w:rPr>
              <w:t>80% of nominal after 20 years</w:t>
            </w:r>
          </w:p>
        </w:tc>
        <w:tc>
          <w:tcPr>
            <w:tcW w:w="3259" w:type="dxa"/>
          </w:tcPr>
          <w:p w14:paraId="732C9420" w14:textId="77777777" w:rsidR="007A49CB" w:rsidRPr="007A395D" w:rsidRDefault="007A49CB" w:rsidP="00A57EB7">
            <w:pPr>
              <w:pStyle w:val="BodyText"/>
              <w:rPr>
                <w:rFonts w:ascii="Calibri" w:hAnsi="Calibri"/>
              </w:rPr>
            </w:pPr>
          </w:p>
        </w:tc>
      </w:tr>
      <w:tr w:rsidR="008449DD" w:rsidRPr="007A395D" w14:paraId="2D8E4B48" w14:textId="77777777" w:rsidTr="00372FB5">
        <w:trPr>
          <w:cantSplit/>
        </w:trPr>
        <w:tc>
          <w:tcPr>
            <w:tcW w:w="5246" w:type="dxa"/>
          </w:tcPr>
          <w:p w14:paraId="3781A4E7" w14:textId="77777777" w:rsidR="008449DD" w:rsidRDefault="008449DD" w:rsidP="008449DD">
            <w:pPr>
              <w:pStyle w:val="AppendixHeading1"/>
            </w:pPr>
            <w:r>
              <w:t>Standards</w:t>
            </w:r>
          </w:p>
          <w:p w14:paraId="2C88AA6F" w14:textId="45E87655" w:rsidR="008449DD" w:rsidRPr="007A395D" w:rsidRDefault="008449DD" w:rsidP="008449DD">
            <w:pPr>
              <w:pStyle w:val="BodyText"/>
              <w:ind w:left="567"/>
              <w:rPr>
                <w:rFonts w:ascii="Calibri" w:hAnsi="Calibri"/>
              </w:rPr>
            </w:pPr>
            <w:r w:rsidRPr="00635083">
              <w:rPr>
                <w:rFonts w:ascii="Calibri" w:hAnsi="Calibri"/>
                <w:highlight w:val="yellow"/>
              </w:rPr>
              <w:t>???</w:t>
            </w:r>
          </w:p>
        </w:tc>
        <w:tc>
          <w:tcPr>
            <w:tcW w:w="1984" w:type="dxa"/>
          </w:tcPr>
          <w:p w14:paraId="11FF2F7B" w14:textId="77777777" w:rsidR="008449DD" w:rsidRPr="007A395D" w:rsidRDefault="008449DD" w:rsidP="007A49CB">
            <w:pPr>
              <w:pStyle w:val="BodyText"/>
              <w:jc w:val="center"/>
              <w:rPr>
                <w:rFonts w:ascii="Calibri" w:hAnsi="Calibri"/>
              </w:rPr>
            </w:pPr>
          </w:p>
        </w:tc>
        <w:tc>
          <w:tcPr>
            <w:tcW w:w="3259" w:type="dxa"/>
          </w:tcPr>
          <w:p w14:paraId="05CD3C48" w14:textId="77777777" w:rsidR="008449DD" w:rsidRPr="007A395D" w:rsidRDefault="008449DD" w:rsidP="00A57EB7">
            <w:pPr>
              <w:pStyle w:val="BodyText"/>
              <w:rPr>
                <w:rFonts w:ascii="Calibri" w:hAnsi="Calibri"/>
              </w:rPr>
            </w:pPr>
          </w:p>
        </w:tc>
      </w:tr>
      <w:tr w:rsidR="008449DD" w:rsidRPr="007A395D" w14:paraId="025D38CE" w14:textId="77777777" w:rsidTr="00372FB5">
        <w:trPr>
          <w:cantSplit/>
        </w:trPr>
        <w:tc>
          <w:tcPr>
            <w:tcW w:w="5246" w:type="dxa"/>
          </w:tcPr>
          <w:p w14:paraId="3CBA275D" w14:textId="77777777" w:rsidR="008449DD" w:rsidRDefault="008449DD" w:rsidP="008449DD">
            <w:pPr>
              <w:pStyle w:val="AppendixHeading1"/>
            </w:pPr>
            <w:r>
              <w:t>Tests / documentation</w:t>
            </w:r>
          </w:p>
          <w:p w14:paraId="519E6052" w14:textId="04BDC1E4" w:rsidR="008449DD" w:rsidRPr="008449DD" w:rsidRDefault="008449DD" w:rsidP="008449DD">
            <w:pPr>
              <w:pStyle w:val="BodyText"/>
              <w:ind w:left="567"/>
              <w:rPr>
                <w:lang w:eastAsia="de-DE"/>
              </w:rPr>
            </w:pPr>
            <w:r>
              <w:rPr>
                <w:lang w:eastAsia="de-DE"/>
              </w:rPr>
              <w:t>Typical IV performance curve</w:t>
            </w:r>
          </w:p>
        </w:tc>
        <w:tc>
          <w:tcPr>
            <w:tcW w:w="1984" w:type="dxa"/>
          </w:tcPr>
          <w:p w14:paraId="6244EE84" w14:textId="77777777" w:rsidR="00372FB5" w:rsidRPr="008449DD" w:rsidRDefault="00372FB5" w:rsidP="00372FB5">
            <w:pPr>
              <w:pStyle w:val="BodyText"/>
              <w:spacing w:before="120"/>
              <w:jc w:val="center"/>
              <w:rPr>
                <w:rFonts w:cs="Arial"/>
                <w:b/>
                <w:caps/>
                <w:sz w:val="24"/>
                <w:lang w:eastAsia="en-US"/>
              </w:rPr>
            </w:pPr>
          </w:p>
          <w:p w14:paraId="43E206B3" w14:textId="638D045D" w:rsidR="008449DD" w:rsidRPr="00372FB5" w:rsidRDefault="00372FB5" w:rsidP="00372FB5">
            <w:pPr>
              <w:pStyle w:val="BodyText"/>
              <w:jc w:val="center"/>
            </w:pPr>
            <w:r>
              <w:t>Provided</w:t>
            </w:r>
          </w:p>
        </w:tc>
        <w:tc>
          <w:tcPr>
            <w:tcW w:w="3259" w:type="dxa"/>
          </w:tcPr>
          <w:p w14:paraId="5127E3DB" w14:textId="77777777" w:rsidR="008449DD" w:rsidRPr="007A395D" w:rsidRDefault="008449DD" w:rsidP="00A57EB7">
            <w:pPr>
              <w:pStyle w:val="BodyText"/>
              <w:rPr>
                <w:rFonts w:ascii="Calibri" w:hAnsi="Calibri"/>
              </w:rPr>
            </w:pPr>
          </w:p>
        </w:tc>
      </w:tr>
      <w:tr w:rsidR="007A49CB" w:rsidRPr="007A395D" w14:paraId="026B98B4" w14:textId="77777777" w:rsidTr="00372FB5">
        <w:trPr>
          <w:cantSplit/>
        </w:trPr>
        <w:tc>
          <w:tcPr>
            <w:tcW w:w="5246" w:type="dxa"/>
          </w:tcPr>
          <w:p w14:paraId="20E9E545" w14:textId="77777777" w:rsidR="008449DD" w:rsidRDefault="008449DD" w:rsidP="008449DD">
            <w:pPr>
              <w:pStyle w:val="AppendixHeading1"/>
              <w:rPr>
                <w:lang w:eastAsia="en-US"/>
              </w:rPr>
            </w:pPr>
            <w:r>
              <w:rPr>
                <w:lang w:eastAsia="en-US"/>
              </w:rPr>
              <w:t>Other</w:t>
            </w:r>
          </w:p>
          <w:p w14:paraId="1F9D3D09" w14:textId="287FF72D" w:rsidR="007A49CB" w:rsidRPr="008449DD" w:rsidRDefault="008449DD" w:rsidP="008449DD">
            <w:pPr>
              <w:ind w:left="567"/>
            </w:pPr>
            <w:r>
              <w:t>Module Identification</w:t>
            </w:r>
          </w:p>
        </w:tc>
        <w:tc>
          <w:tcPr>
            <w:tcW w:w="1984" w:type="dxa"/>
          </w:tcPr>
          <w:p w14:paraId="59910146" w14:textId="77777777" w:rsidR="00372FB5" w:rsidRPr="008449DD" w:rsidRDefault="00372FB5" w:rsidP="00372FB5">
            <w:pPr>
              <w:pStyle w:val="BodyText"/>
              <w:spacing w:before="120"/>
              <w:jc w:val="center"/>
              <w:rPr>
                <w:rFonts w:cs="Arial"/>
                <w:b/>
                <w:caps/>
                <w:sz w:val="24"/>
                <w:lang w:eastAsia="en-US"/>
              </w:rPr>
            </w:pPr>
          </w:p>
          <w:p w14:paraId="6E3B32E5" w14:textId="436CD964" w:rsidR="007A49CB" w:rsidRPr="00372FB5" w:rsidRDefault="00372FB5" w:rsidP="00372FB5">
            <w:pPr>
              <w:pStyle w:val="BodyText"/>
              <w:jc w:val="center"/>
            </w:pPr>
            <w:r>
              <w:t>Unique serial no.</w:t>
            </w:r>
          </w:p>
        </w:tc>
        <w:tc>
          <w:tcPr>
            <w:tcW w:w="3259" w:type="dxa"/>
          </w:tcPr>
          <w:p w14:paraId="0F0D0AFF" w14:textId="77777777" w:rsidR="007A49CB" w:rsidRPr="007A395D" w:rsidRDefault="007A49CB" w:rsidP="00A57EB7">
            <w:pPr>
              <w:pStyle w:val="BodyText"/>
              <w:rPr>
                <w:rFonts w:ascii="Calibri" w:hAnsi="Calibri"/>
              </w:rPr>
            </w:pPr>
          </w:p>
        </w:tc>
      </w:tr>
    </w:tbl>
    <w:p w14:paraId="3E25683D" w14:textId="77777777" w:rsidR="007A49CB" w:rsidRPr="00E10298" w:rsidRDefault="007A49CB" w:rsidP="00E10298">
      <w:pPr>
        <w:rPr>
          <w:lang w:eastAsia="en-US"/>
        </w:rPr>
      </w:pPr>
    </w:p>
    <w:p w14:paraId="53A506D8" w14:textId="66CF4478" w:rsidR="00051BA4" w:rsidRDefault="00051BA4" w:rsidP="00051BA4">
      <w:pPr>
        <w:pStyle w:val="BodyText"/>
      </w:pPr>
    </w:p>
    <w:p w14:paraId="5DEF9B68" w14:textId="77777777" w:rsidR="00372FB5" w:rsidRPr="007A395D" w:rsidRDefault="00372FB5" w:rsidP="00372FB5">
      <w:pPr>
        <w:pStyle w:val="Heading1"/>
      </w:pPr>
      <w:r w:rsidRPr="007A395D">
        <w:t>Action requested of the Committee</w:t>
      </w:r>
    </w:p>
    <w:p w14:paraId="4C29CF1B" w14:textId="77777777" w:rsidR="00372FB5" w:rsidRPr="007A395D" w:rsidRDefault="00372FB5" w:rsidP="00372FB5">
      <w:pPr>
        <w:pStyle w:val="BodyText"/>
        <w:rPr>
          <w:rFonts w:ascii="Calibri" w:hAnsi="Calibri"/>
        </w:rPr>
      </w:pPr>
      <w:r w:rsidRPr="007A395D">
        <w:rPr>
          <w:rFonts w:ascii="Calibri" w:hAnsi="Calibri"/>
        </w:rPr>
        <w:t>The Committee is requested to: (Body text)</w:t>
      </w:r>
    </w:p>
    <w:p w14:paraId="0C7A9AAA" w14:textId="07ECD8AA" w:rsidR="00372FB5" w:rsidRPr="00347BD0" w:rsidRDefault="00347BD0" w:rsidP="00347BD0">
      <w:pPr>
        <w:pStyle w:val="List1"/>
      </w:pPr>
      <w:r>
        <w:t>Forward the input paper to working group 2 for review and consideration as input to the draft guideline on “what constitutes a good marine solar module”.</w:t>
      </w:r>
    </w:p>
    <w:p w14:paraId="7E783B69" w14:textId="4D75AB50" w:rsidR="00051BA4" w:rsidRDefault="00051BA4" w:rsidP="00051BA4"/>
    <w:p w14:paraId="4F47D18E" w14:textId="77777777" w:rsidR="00051BA4" w:rsidRDefault="00051BA4" w:rsidP="00051BA4"/>
    <w:p w14:paraId="7B3F871E" w14:textId="77777777" w:rsidR="00051BA4" w:rsidRDefault="00051BA4" w:rsidP="00051BA4"/>
    <w:p w14:paraId="4B3520F9" w14:textId="77777777" w:rsidR="00051BA4" w:rsidRPr="00051BA4" w:rsidRDefault="00051BA4" w:rsidP="00051BA4">
      <w:pPr>
        <w:rPr>
          <w:lang w:eastAsia="en-US"/>
        </w:rPr>
      </w:pPr>
    </w:p>
    <w:sectPr w:rsidR="00051BA4" w:rsidRPr="00051BA4"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458FE" w14:textId="77777777" w:rsidR="00A93356" w:rsidRDefault="00A93356" w:rsidP="00362CD9">
      <w:r>
        <w:separator/>
      </w:r>
    </w:p>
  </w:endnote>
  <w:endnote w:type="continuationSeparator" w:id="0">
    <w:p w14:paraId="64AC1149" w14:textId="77777777" w:rsidR="00A93356" w:rsidRDefault="00A9335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4FEE66A4"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635083">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8A8CA" w14:textId="77777777" w:rsidR="00A93356" w:rsidRDefault="00A93356" w:rsidP="00362CD9">
      <w:r>
        <w:separator/>
      </w:r>
    </w:p>
  </w:footnote>
  <w:footnote w:type="continuationSeparator" w:id="0">
    <w:p w14:paraId="2B007180" w14:textId="77777777" w:rsidR="00A93356" w:rsidRDefault="00A93356"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5C576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1" type="#_x0000_t136" alt="" style="position:absolute;margin-left:0;margin-top:0;width:623.85pt;height:65.6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5C576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alt="" style="position:absolute;left:0;text-align:left;margin-left:0;margin-top:0;width:623.85pt;height:65.6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5C576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alt="" style="position:absolute;left:0;text-align:left;margin-left:0;margin-top:0;width:623.85pt;height:65.6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4"/>
  </w:num>
  <w:num w:numId="8">
    <w:abstractNumId w:val="10"/>
  </w:num>
  <w:num w:numId="9">
    <w:abstractNumId w:val="8"/>
  </w:num>
  <w:num w:numId="10">
    <w:abstractNumId w:val="18"/>
  </w:num>
  <w:num w:numId="11">
    <w:abstractNumId w:val="17"/>
  </w:num>
  <w:num w:numId="12">
    <w:abstractNumId w:val="14"/>
  </w:num>
  <w:num w:numId="13">
    <w:abstractNumId w:val="23"/>
  </w:num>
  <w:num w:numId="14">
    <w:abstractNumId w:val="5"/>
  </w:num>
  <w:num w:numId="15">
    <w:abstractNumId w:val="25"/>
  </w:num>
  <w:num w:numId="16">
    <w:abstractNumId w:val="13"/>
  </w:num>
  <w:num w:numId="17">
    <w:abstractNumId w:val="6"/>
  </w:num>
  <w:num w:numId="18">
    <w:abstractNumId w:val="20"/>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14BE"/>
    <w:rsid w:val="00026AAB"/>
    <w:rsid w:val="00036A03"/>
    <w:rsid w:val="00036B9E"/>
    <w:rsid w:val="00037DF4"/>
    <w:rsid w:val="00040EB1"/>
    <w:rsid w:val="0004700E"/>
    <w:rsid w:val="00051BA4"/>
    <w:rsid w:val="00062ED5"/>
    <w:rsid w:val="00070C13"/>
    <w:rsid w:val="000715C9"/>
    <w:rsid w:val="00077FC9"/>
    <w:rsid w:val="00084F33"/>
    <w:rsid w:val="000A77A7"/>
    <w:rsid w:val="000B1707"/>
    <w:rsid w:val="000C1B3E"/>
    <w:rsid w:val="000C349E"/>
    <w:rsid w:val="00110AE7"/>
    <w:rsid w:val="001610B5"/>
    <w:rsid w:val="00177F4D"/>
    <w:rsid w:val="00180DDA"/>
    <w:rsid w:val="001A2B39"/>
    <w:rsid w:val="001B2A2D"/>
    <w:rsid w:val="001B737D"/>
    <w:rsid w:val="001C44A3"/>
    <w:rsid w:val="001E0B09"/>
    <w:rsid w:val="001E0E15"/>
    <w:rsid w:val="001E5850"/>
    <w:rsid w:val="001F528A"/>
    <w:rsid w:val="001F704E"/>
    <w:rsid w:val="00201722"/>
    <w:rsid w:val="0020564D"/>
    <w:rsid w:val="00207040"/>
    <w:rsid w:val="002125B0"/>
    <w:rsid w:val="00230A11"/>
    <w:rsid w:val="00232047"/>
    <w:rsid w:val="00243228"/>
    <w:rsid w:val="00251483"/>
    <w:rsid w:val="00255CAA"/>
    <w:rsid w:val="00264305"/>
    <w:rsid w:val="002A0346"/>
    <w:rsid w:val="002A4487"/>
    <w:rsid w:val="002B3638"/>
    <w:rsid w:val="002B49E9"/>
    <w:rsid w:val="002C632E"/>
    <w:rsid w:val="002D3E8B"/>
    <w:rsid w:val="002D4575"/>
    <w:rsid w:val="002D4F4D"/>
    <w:rsid w:val="002D5C0C"/>
    <w:rsid w:val="002E03D1"/>
    <w:rsid w:val="002E129A"/>
    <w:rsid w:val="002E49FD"/>
    <w:rsid w:val="002E6B74"/>
    <w:rsid w:val="002E6FCA"/>
    <w:rsid w:val="00315197"/>
    <w:rsid w:val="0033433B"/>
    <w:rsid w:val="00347BD0"/>
    <w:rsid w:val="00356CD0"/>
    <w:rsid w:val="00362CD9"/>
    <w:rsid w:val="00371E90"/>
    <w:rsid w:val="00372FB5"/>
    <w:rsid w:val="003761CA"/>
    <w:rsid w:val="00380DAF"/>
    <w:rsid w:val="003972CE"/>
    <w:rsid w:val="003B28F5"/>
    <w:rsid w:val="003B7B7D"/>
    <w:rsid w:val="003C54CB"/>
    <w:rsid w:val="003C7A2A"/>
    <w:rsid w:val="003D2DC1"/>
    <w:rsid w:val="003D69D0"/>
    <w:rsid w:val="003F2918"/>
    <w:rsid w:val="003F2F08"/>
    <w:rsid w:val="003F430E"/>
    <w:rsid w:val="0041088C"/>
    <w:rsid w:val="00412DD0"/>
    <w:rsid w:val="00420A38"/>
    <w:rsid w:val="00424FD0"/>
    <w:rsid w:val="00431B19"/>
    <w:rsid w:val="00463B0A"/>
    <w:rsid w:val="00464D04"/>
    <w:rsid w:val="004661AD"/>
    <w:rsid w:val="004672B1"/>
    <w:rsid w:val="00497C63"/>
    <w:rsid w:val="004A4539"/>
    <w:rsid w:val="004A6C1D"/>
    <w:rsid w:val="004D1D85"/>
    <w:rsid w:val="004D3C3A"/>
    <w:rsid w:val="004D6709"/>
    <w:rsid w:val="004E1CD1"/>
    <w:rsid w:val="004F7EFC"/>
    <w:rsid w:val="005107EB"/>
    <w:rsid w:val="00521345"/>
    <w:rsid w:val="00526DF0"/>
    <w:rsid w:val="00526E3D"/>
    <w:rsid w:val="00545CC4"/>
    <w:rsid w:val="00551FFF"/>
    <w:rsid w:val="005607A2"/>
    <w:rsid w:val="0057198B"/>
    <w:rsid w:val="00573AEE"/>
    <w:rsid w:val="00573CFE"/>
    <w:rsid w:val="0057460F"/>
    <w:rsid w:val="005969F2"/>
    <w:rsid w:val="00597FAE"/>
    <w:rsid w:val="005A1CED"/>
    <w:rsid w:val="005B32A3"/>
    <w:rsid w:val="005C0D44"/>
    <w:rsid w:val="005C566C"/>
    <w:rsid w:val="005C5765"/>
    <w:rsid w:val="005C7E69"/>
    <w:rsid w:val="005E262D"/>
    <w:rsid w:val="005F23D3"/>
    <w:rsid w:val="005F7E20"/>
    <w:rsid w:val="006012F2"/>
    <w:rsid w:val="00605E43"/>
    <w:rsid w:val="006153BB"/>
    <w:rsid w:val="006179F9"/>
    <w:rsid w:val="00635083"/>
    <w:rsid w:val="006652C3"/>
    <w:rsid w:val="0067231F"/>
    <w:rsid w:val="00691FD0"/>
    <w:rsid w:val="00692148"/>
    <w:rsid w:val="006A1A1E"/>
    <w:rsid w:val="006C5948"/>
    <w:rsid w:val="006D3734"/>
    <w:rsid w:val="006E1819"/>
    <w:rsid w:val="006F2A74"/>
    <w:rsid w:val="007000D4"/>
    <w:rsid w:val="007118F5"/>
    <w:rsid w:val="00712AA4"/>
    <w:rsid w:val="007146C4"/>
    <w:rsid w:val="00721AA1"/>
    <w:rsid w:val="00724B67"/>
    <w:rsid w:val="00731A55"/>
    <w:rsid w:val="00734B36"/>
    <w:rsid w:val="007547F8"/>
    <w:rsid w:val="00762CD6"/>
    <w:rsid w:val="00765622"/>
    <w:rsid w:val="00770B6C"/>
    <w:rsid w:val="00783FEA"/>
    <w:rsid w:val="00786BC1"/>
    <w:rsid w:val="007A395D"/>
    <w:rsid w:val="007A49CB"/>
    <w:rsid w:val="007B14A8"/>
    <w:rsid w:val="007B6BD5"/>
    <w:rsid w:val="007C346C"/>
    <w:rsid w:val="007D5B6E"/>
    <w:rsid w:val="007E6479"/>
    <w:rsid w:val="0080294B"/>
    <w:rsid w:val="0082480E"/>
    <w:rsid w:val="008449DD"/>
    <w:rsid w:val="00850293"/>
    <w:rsid w:val="00851373"/>
    <w:rsid w:val="00851BA6"/>
    <w:rsid w:val="0085654D"/>
    <w:rsid w:val="00861160"/>
    <w:rsid w:val="0086654F"/>
    <w:rsid w:val="008911AC"/>
    <w:rsid w:val="008A356F"/>
    <w:rsid w:val="008A4653"/>
    <w:rsid w:val="008A4717"/>
    <w:rsid w:val="008A50CC"/>
    <w:rsid w:val="008B3040"/>
    <w:rsid w:val="008D1694"/>
    <w:rsid w:val="008D6C1F"/>
    <w:rsid w:val="008D784F"/>
    <w:rsid w:val="008D79CB"/>
    <w:rsid w:val="008F07BC"/>
    <w:rsid w:val="0091760D"/>
    <w:rsid w:val="0092692B"/>
    <w:rsid w:val="00930561"/>
    <w:rsid w:val="0093562D"/>
    <w:rsid w:val="00943E9C"/>
    <w:rsid w:val="00953F4D"/>
    <w:rsid w:val="00960BB8"/>
    <w:rsid w:val="00964F5C"/>
    <w:rsid w:val="00973B57"/>
    <w:rsid w:val="00975900"/>
    <w:rsid w:val="00980362"/>
    <w:rsid w:val="009831C0"/>
    <w:rsid w:val="009862FC"/>
    <w:rsid w:val="0099161D"/>
    <w:rsid w:val="00A01E1B"/>
    <w:rsid w:val="00A0389B"/>
    <w:rsid w:val="00A06588"/>
    <w:rsid w:val="00A1428E"/>
    <w:rsid w:val="00A33A3C"/>
    <w:rsid w:val="00A446C9"/>
    <w:rsid w:val="00A61114"/>
    <w:rsid w:val="00A635D6"/>
    <w:rsid w:val="00A74B7C"/>
    <w:rsid w:val="00A8368E"/>
    <w:rsid w:val="00A8553A"/>
    <w:rsid w:val="00A93356"/>
    <w:rsid w:val="00A93AED"/>
    <w:rsid w:val="00AE1319"/>
    <w:rsid w:val="00AE34BB"/>
    <w:rsid w:val="00B04A57"/>
    <w:rsid w:val="00B226F2"/>
    <w:rsid w:val="00B274DF"/>
    <w:rsid w:val="00B56BDF"/>
    <w:rsid w:val="00B65812"/>
    <w:rsid w:val="00B766DC"/>
    <w:rsid w:val="00B85CD6"/>
    <w:rsid w:val="00B90A27"/>
    <w:rsid w:val="00B9554D"/>
    <w:rsid w:val="00BB2B9F"/>
    <w:rsid w:val="00BB3644"/>
    <w:rsid w:val="00BB7D9E"/>
    <w:rsid w:val="00BC1F08"/>
    <w:rsid w:val="00BC2334"/>
    <w:rsid w:val="00BD3CB8"/>
    <w:rsid w:val="00BD4E6F"/>
    <w:rsid w:val="00BF32F0"/>
    <w:rsid w:val="00BF4DCE"/>
    <w:rsid w:val="00C05CE5"/>
    <w:rsid w:val="00C21D92"/>
    <w:rsid w:val="00C6171E"/>
    <w:rsid w:val="00C87E1A"/>
    <w:rsid w:val="00CA6F2C"/>
    <w:rsid w:val="00CD6A13"/>
    <w:rsid w:val="00CF1871"/>
    <w:rsid w:val="00D01874"/>
    <w:rsid w:val="00D019CE"/>
    <w:rsid w:val="00D044C2"/>
    <w:rsid w:val="00D05544"/>
    <w:rsid w:val="00D1133E"/>
    <w:rsid w:val="00D17A34"/>
    <w:rsid w:val="00D26628"/>
    <w:rsid w:val="00D320BC"/>
    <w:rsid w:val="00D332B3"/>
    <w:rsid w:val="00D55207"/>
    <w:rsid w:val="00D81006"/>
    <w:rsid w:val="00D81801"/>
    <w:rsid w:val="00D8641F"/>
    <w:rsid w:val="00D9071D"/>
    <w:rsid w:val="00D92B45"/>
    <w:rsid w:val="00D95962"/>
    <w:rsid w:val="00DC389B"/>
    <w:rsid w:val="00DE2FEE"/>
    <w:rsid w:val="00DF1467"/>
    <w:rsid w:val="00E00BE9"/>
    <w:rsid w:val="00E10298"/>
    <w:rsid w:val="00E22A11"/>
    <w:rsid w:val="00E31E5C"/>
    <w:rsid w:val="00E44DD2"/>
    <w:rsid w:val="00E558C3"/>
    <w:rsid w:val="00E55927"/>
    <w:rsid w:val="00E60540"/>
    <w:rsid w:val="00E6341D"/>
    <w:rsid w:val="00E77122"/>
    <w:rsid w:val="00E912A6"/>
    <w:rsid w:val="00EA4844"/>
    <w:rsid w:val="00EA4D9C"/>
    <w:rsid w:val="00EA500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A2563"/>
    <w:rsid w:val="00FA3474"/>
    <w:rsid w:val="00FB17A9"/>
    <w:rsid w:val="00FB527C"/>
    <w:rsid w:val="00FB6F75"/>
    <w:rsid w:val="00FC0EB3"/>
    <w:rsid w:val="00FD300F"/>
    <w:rsid w:val="00FD675E"/>
    <w:rsid w:val="00FD7B94"/>
    <w:rsid w:val="00FE0900"/>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093E7B-5377-4275-996B-15895607CB20}">
  <ds:schemaRefs>
    <ds:schemaRef ds:uri="http://schemas.openxmlformats.org/officeDocument/2006/bibliography"/>
  </ds:schemaRefs>
</ds:datastoreItem>
</file>

<file path=customXml/itemProps4.xml><?xml version="1.0" encoding="utf-8"?>
<ds:datastoreItem xmlns:ds="http://schemas.openxmlformats.org/officeDocument/2006/customXml" ds:itemID="{D92C3880-027C-4FDB-82B2-4E6C5C795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930</Words>
  <Characters>5307</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7</cp:revision>
  <dcterms:created xsi:type="dcterms:W3CDTF">2021-09-03T10:02:00Z</dcterms:created>
  <dcterms:modified xsi:type="dcterms:W3CDTF">2021-09-07T03:05:00Z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