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5302FD" w14:textId="6505759E"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 xml:space="preserve">: </w:t>
      </w:r>
      <w:r w:rsidRPr="00A72757">
        <w:rPr>
          <w:rStyle w:val="FootnoteReference"/>
          <w:rFonts w:ascii="Calibri" w:hAnsi="Calibri"/>
          <w:b/>
          <w:bCs/>
          <w:color w:val="00558C"/>
          <w:sz w:val="24"/>
          <w:szCs w:val="24"/>
        </w:rPr>
        <w:footnoteReference w:id="1"/>
      </w:r>
      <w:r w:rsidR="000049D8" w:rsidRPr="00A72757">
        <w:rPr>
          <w:rFonts w:ascii="Calibri" w:hAnsi="Calibri"/>
          <w:b/>
          <w:bCs/>
          <w:color w:val="00558C"/>
          <w:sz w:val="24"/>
          <w:szCs w:val="24"/>
        </w:rPr>
        <w:t xml:space="preserve">  </w:t>
      </w:r>
      <w:r w:rsidR="00973B57" w:rsidRPr="00A72757">
        <w:rPr>
          <w:rFonts w:ascii="Calibri" w:hAnsi="Calibri"/>
          <w:color w:val="00558C"/>
          <w:sz w:val="24"/>
          <w:szCs w:val="24"/>
        </w:rPr>
        <w:t>XXXX</w:t>
      </w:r>
      <w:r w:rsidRPr="00A72757">
        <w:rPr>
          <w:rFonts w:ascii="Calibri" w:hAnsi="Calibri"/>
          <w:color w:val="00558C"/>
          <w:sz w:val="24"/>
          <w:szCs w:val="24"/>
        </w:rPr>
        <w:t>-n.n</w:t>
      </w:r>
      <w:r w:rsidR="00E558C3" w:rsidRPr="00A72757">
        <w:rPr>
          <w:rFonts w:ascii="Calibri" w:hAnsi="Calibri"/>
          <w:color w:val="00558C"/>
          <w:sz w:val="24"/>
          <w:szCs w:val="24"/>
        </w:rPr>
        <w:t>.n</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45CF7BB3" w:rsidR="0080294B" w:rsidRPr="00B0084A" w:rsidRDefault="005364C6"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1"/>
            <w14:checkedState w14:val="2612" w14:font="MS Gothic"/>
            <w14:uncheckedState w14:val="2610" w14:font="MS Gothic"/>
          </w14:checkbox>
        </w:sdtPr>
        <w:sdtEndPr/>
        <w:sdtContent>
          <w:r w:rsidR="006D09FD">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EndPr/>
        <w:sdtContent>
          <w:r w:rsidR="00110203">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EndPr/>
        <w:sdtContent>
          <w:r w:rsidR="006D09FD">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0E1A3B65" w:rsidR="0080294B" w:rsidRPr="00B0084A" w:rsidRDefault="005364C6" w:rsidP="00037DF4">
      <w:pPr>
        <w:pStyle w:val="BodyText"/>
        <w:tabs>
          <w:tab w:val="left" w:pos="1843"/>
        </w:tabs>
        <w:rPr>
          <w:rFonts w:ascii="Calibri" w:hAnsi="Calibri"/>
        </w:rPr>
      </w:pPr>
      <w:sdt>
        <w:sdtPr>
          <w:rPr>
            <w:rFonts w:ascii="Calibri" w:hAnsi="Calibri" w:cs="Arial"/>
            <w:b/>
          </w:rPr>
          <w:id w:val="1358232040"/>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ENAV</w:t>
      </w:r>
      <w:r w:rsidR="0080294B" w:rsidRPr="00B0084A">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EndPr/>
        <w:sdtContent>
          <w:r w:rsidR="00110203" w:rsidRPr="00B0084A">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C02DDD">
        <w:rPr>
          <w:rFonts w:ascii="Calibri" w:hAnsi="Calibri"/>
          <w:b/>
          <w:bCs/>
          <w:color w:val="00558C"/>
          <w:sz w:val="24"/>
          <w:szCs w:val="24"/>
        </w:rPr>
        <w:t>Agenda item</w:t>
      </w:r>
      <w:r w:rsidR="00037DF4" w:rsidRPr="007A395D">
        <w:rPr>
          <w:rFonts w:ascii="Calibri" w:hAnsi="Calibri"/>
        </w:rPr>
        <w:t xml:space="preserve"> </w:t>
      </w:r>
      <w:r w:rsidR="00037DF4" w:rsidRPr="007A395D">
        <w:rPr>
          <w:rStyle w:val="FootnoteReference"/>
          <w:rFonts w:ascii="Calibri" w:hAnsi="Calibri"/>
          <w:sz w:val="22"/>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80294B" w:rsidRPr="007A395D">
        <w:rPr>
          <w:rFonts w:ascii="Calibri" w:hAnsi="Calibri"/>
        </w:rPr>
        <w:t>n.n</w:t>
      </w:r>
      <w:proofErr w:type="spellEnd"/>
    </w:p>
    <w:p w14:paraId="1AB3E246" w14:textId="468A89D0" w:rsidR="00A446C9" w:rsidRPr="007A395D" w:rsidRDefault="0080294B" w:rsidP="00FE5674">
      <w:pPr>
        <w:pStyle w:val="BodyText"/>
        <w:tabs>
          <w:tab w:val="left" w:pos="2835"/>
        </w:tabs>
        <w:rPr>
          <w:rFonts w:ascii="Calibri" w:hAnsi="Calibri"/>
        </w:rPr>
      </w:pPr>
      <w:r w:rsidRPr="00C02DDD">
        <w:rPr>
          <w:rFonts w:ascii="Calibri" w:hAnsi="Calibri"/>
          <w:b/>
          <w:bCs/>
          <w:color w:val="00558C"/>
          <w:sz w:val="24"/>
          <w:szCs w:val="24"/>
        </w:rPr>
        <w:t xml:space="preserve">Technical </w:t>
      </w:r>
      <w:r w:rsidR="00B0084A" w:rsidRPr="00C02DDD">
        <w:rPr>
          <w:rFonts w:ascii="Calibri" w:hAnsi="Calibri"/>
          <w:b/>
          <w:bCs/>
          <w:color w:val="00558C"/>
          <w:sz w:val="24"/>
          <w:szCs w:val="24"/>
        </w:rPr>
        <w:t>d</w:t>
      </w:r>
      <w:r w:rsidRPr="00C02DDD">
        <w:rPr>
          <w:rFonts w:ascii="Calibri" w:hAnsi="Calibri"/>
          <w:b/>
          <w:bCs/>
          <w:color w:val="00558C"/>
          <w:sz w:val="24"/>
          <w:szCs w:val="24"/>
        </w:rPr>
        <w:t xml:space="preserve">omain/ </w:t>
      </w:r>
      <w:r w:rsidR="00A446C9" w:rsidRPr="00C02DDD">
        <w:rPr>
          <w:rFonts w:ascii="Calibri" w:hAnsi="Calibri"/>
          <w:b/>
          <w:bCs/>
          <w:color w:val="00558C"/>
          <w:sz w:val="24"/>
          <w:szCs w:val="24"/>
        </w:rPr>
        <w:t xml:space="preserve">Task </w:t>
      </w:r>
      <w:r w:rsidR="00B0084A" w:rsidRPr="00C02DDD">
        <w:rPr>
          <w:rFonts w:ascii="Calibri" w:hAnsi="Calibri"/>
          <w:b/>
          <w:bCs/>
          <w:color w:val="00558C"/>
          <w:sz w:val="24"/>
          <w:szCs w:val="24"/>
        </w:rPr>
        <w:t>n</w:t>
      </w:r>
      <w:r w:rsidR="00A446C9" w:rsidRPr="00C02DDD">
        <w:rPr>
          <w:rFonts w:ascii="Calibri" w:hAnsi="Calibri"/>
          <w:b/>
          <w:bCs/>
          <w:color w:val="00558C"/>
          <w:sz w:val="24"/>
          <w:szCs w:val="24"/>
        </w:rPr>
        <w:t>umber</w:t>
      </w:r>
      <w:r w:rsidR="00037DF4" w:rsidRPr="007A395D">
        <w:rPr>
          <w:rFonts w:ascii="Calibri" w:hAnsi="Calibri"/>
        </w:rPr>
        <w:t xml:space="preserve"> </w:t>
      </w:r>
      <w:proofErr w:type="gramStart"/>
      <w:r w:rsidR="00037DF4" w:rsidRPr="007A395D">
        <w:rPr>
          <w:rFonts w:ascii="Calibri" w:hAnsi="Calibri"/>
          <w:vertAlign w:val="superscript"/>
        </w:rPr>
        <w:t>2</w:t>
      </w:r>
      <w:proofErr w:type="gramEnd"/>
      <w:r w:rsidR="001C44A3" w:rsidRPr="007A395D">
        <w:rPr>
          <w:rFonts w:ascii="Calibri" w:hAnsi="Calibri"/>
        </w:rPr>
        <w:tab/>
      </w:r>
      <w:r w:rsidR="006D09FD">
        <w:rPr>
          <w:rFonts w:ascii="Calibri" w:hAnsi="Calibri"/>
        </w:rPr>
        <w:t>WG1</w:t>
      </w:r>
    </w:p>
    <w:p w14:paraId="01FC5420" w14:textId="3129D710" w:rsidR="00362CD9" w:rsidRPr="007A395D" w:rsidRDefault="00362CD9" w:rsidP="00FE5674">
      <w:pPr>
        <w:pStyle w:val="BodyText"/>
        <w:tabs>
          <w:tab w:val="left" w:pos="2835"/>
        </w:tabs>
        <w:rPr>
          <w:rFonts w:ascii="Calibri" w:hAnsi="Calibri"/>
          <w:color w:val="FF0000"/>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r>
      <w:r w:rsidR="006D09FD">
        <w:rPr>
          <w:rFonts w:ascii="Calibri" w:hAnsi="Calibri"/>
        </w:rPr>
        <w:t>Alwyn Williams</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4834080C" w14:textId="3D8A4FA4" w:rsidR="00A446C9" w:rsidRPr="00605E43" w:rsidRDefault="00C91815" w:rsidP="0035243F">
      <w:pPr>
        <w:pStyle w:val="Title"/>
      </w:pPr>
      <w:r>
        <w:t>Co</w:t>
      </w:r>
      <w:r w:rsidR="00B67A23">
        <w:t>rrection to IALA Guideline G1135</w:t>
      </w:r>
    </w:p>
    <w:p w14:paraId="2CC2DB54" w14:textId="4C9C98D3" w:rsidR="009874F9" w:rsidRPr="009874F9" w:rsidRDefault="00A446C9" w:rsidP="009874F9">
      <w:pPr>
        <w:pStyle w:val="Heading1"/>
      </w:pPr>
      <w:r w:rsidRPr="00B661C7">
        <w:t>Summary</w:t>
      </w:r>
      <w:r w:rsidR="008E28CC">
        <w:t xml:space="preserve"> </w:t>
      </w:r>
    </w:p>
    <w:p w14:paraId="680279B8" w14:textId="0788C87C" w:rsidR="00C91815" w:rsidRPr="007A395D" w:rsidRDefault="00C91815" w:rsidP="00B56BDF">
      <w:pPr>
        <w:pStyle w:val="BodyText"/>
        <w:rPr>
          <w:rFonts w:ascii="Calibri" w:hAnsi="Calibri"/>
        </w:rPr>
      </w:pPr>
      <w:r>
        <w:rPr>
          <w:rFonts w:ascii="Calibri" w:hAnsi="Calibri"/>
        </w:rPr>
        <w:t>During a recent review of IALA Guideline G113</w:t>
      </w:r>
      <w:r w:rsidR="00B67A23">
        <w:rPr>
          <w:rFonts w:ascii="Calibri" w:hAnsi="Calibri"/>
        </w:rPr>
        <w:t>5</w:t>
      </w:r>
      <w:r>
        <w:rPr>
          <w:rFonts w:ascii="Calibri" w:hAnsi="Calibri"/>
        </w:rPr>
        <w:t>, it was found that a small section of the effective intensity peak-to-effective intensity factor tables was incorrect. The issue</w:t>
      </w:r>
      <w:r w:rsidR="00B67A23">
        <w:rPr>
          <w:rFonts w:ascii="Calibri" w:hAnsi="Calibri"/>
        </w:rPr>
        <w:t xml:space="preserve"> lies with the Gaussian shape, which </w:t>
      </w:r>
      <w:r w:rsidR="00992929">
        <w:rPr>
          <w:rFonts w:ascii="Calibri" w:hAnsi="Calibri"/>
        </w:rPr>
        <w:t>is incorrect due to an</w:t>
      </w:r>
      <w:r w:rsidR="00B67A23">
        <w:rPr>
          <w:rFonts w:ascii="Calibri" w:hAnsi="Calibri"/>
        </w:rPr>
        <w:t xml:space="preserve"> error in the calculation. All other peak-to-effective intensity factors are correct.</w:t>
      </w:r>
    </w:p>
    <w:p w14:paraId="36D645BE" w14:textId="77777777" w:rsidR="00B56BDF" w:rsidRPr="007A395D" w:rsidRDefault="00B56BDF" w:rsidP="00605E43">
      <w:pPr>
        <w:pStyle w:val="Heading2"/>
      </w:pPr>
      <w:r w:rsidRPr="007A395D">
        <w:t>Related documents</w:t>
      </w:r>
    </w:p>
    <w:p w14:paraId="553E55ED" w14:textId="0F5D7364" w:rsidR="00E55927" w:rsidRPr="0035243F" w:rsidRDefault="00C91815" w:rsidP="00E55927">
      <w:pPr>
        <w:pStyle w:val="BodyText"/>
        <w:rPr>
          <w:rFonts w:ascii="Calibri" w:hAnsi="Calibri"/>
        </w:rPr>
      </w:pPr>
      <w:r>
        <w:rPr>
          <w:rFonts w:ascii="Calibri" w:hAnsi="Calibri"/>
        </w:rPr>
        <w:t>IALA Guideline G1136</w:t>
      </w:r>
      <w:r w:rsidR="00B67A23">
        <w:rPr>
          <w:rFonts w:ascii="Calibri" w:hAnsi="Calibri"/>
        </w:rPr>
        <w:t>, Ed. 2, December 2020</w:t>
      </w:r>
    </w:p>
    <w:p w14:paraId="041E9135" w14:textId="77777777" w:rsidR="00A446C9" w:rsidRPr="007A395D" w:rsidRDefault="00A446C9" w:rsidP="00605E43">
      <w:pPr>
        <w:pStyle w:val="Heading1"/>
      </w:pPr>
      <w:r w:rsidRPr="007A395D">
        <w:t>Discussion</w:t>
      </w:r>
    </w:p>
    <w:p w14:paraId="35F95059" w14:textId="1D170472" w:rsidR="00992929" w:rsidRDefault="00992929" w:rsidP="00A446C9">
      <w:pPr>
        <w:pStyle w:val="BodyText"/>
        <w:rPr>
          <w:rFonts w:ascii="Calibri" w:hAnsi="Calibri"/>
        </w:rPr>
      </w:pPr>
      <w:r>
        <w:rPr>
          <w:rFonts w:ascii="Calibri" w:hAnsi="Calibri"/>
        </w:rPr>
        <w:t>The Gaussian flash peak-to-effective intensity factors published in Annex B of the curren</w:t>
      </w:r>
      <w:r w:rsidR="00351092">
        <w:rPr>
          <w:rFonts w:ascii="Calibri" w:hAnsi="Calibri"/>
        </w:rPr>
        <w:t>t edition of Guideline G1135 have</w:t>
      </w:r>
      <w:r>
        <w:rPr>
          <w:rFonts w:ascii="Calibri" w:hAnsi="Calibri"/>
        </w:rPr>
        <w:t xml:space="preserve"> the </w:t>
      </w:r>
      <w:r w:rsidR="00351092">
        <w:rPr>
          <w:rFonts w:ascii="Calibri" w:hAnsi="Calibri"/>
        </w:rPr>
        <w:t xml:space="preserve">values shown in </w:t>
      </w:r>
      <w:r w:rsidR="00351092">
        <w:rPr>
          <w:rFonts w:ascii="Calibri" w:hAnsi="Calibri"/>
        </w:rPr>
        <w:fldChar w:fldCharType="begin"/>
      </w:r>
      <w:r w:rsidR="00351092">
        <w:rPr>
          <w:rFonts w:ascii="Calibri" w:hAnsi="Calibri"/>
        </w:rPr>
        <w:instrText xml:space="preserve"> REF _Ref93070485 </w:instrText>
      </w:r>
      <w:r w:rsidR="00351092">
        <w:rPr>
          <w:rFonts w:ascii="Calibri" w:hAnsi="Calibri"/>
        </w:rPr>
        <w:fldChar w:fldCharType="separate"/>
      </w:r>
      <w:r w:rsidR="00351092" w:rsidRPr="00351092">
        <w:t xml:space="preserve">Table </w:t>
      </w:r>
      <w:r w:rsidR="00351092" w:rsidRPr="00351092">
        <w:rPr>
          <w:noProof/>
        </w:rPr>
        <w:t>1</w:t>
      </w:r>
      <w:r w:rsidR="00351092">
        <w:rPr>
          <w:rFonts w:ascii="Calibri" w:hAnsi="Calibri"/>
        </w:rPr>
        <w:fldChar w:fldCharType="end"/>
      </w:r>
      <w:r w:rsidR="00351092">
        <w:rPr>
          <w:rFonts w:ascii="Calibri" w:hAnsi="Calibri"/>
        </w:rPr>
        <w:t>.</w:t>
      </w:r>
    </w:p>
    <w:p w14:paraId="23A8ED6F" w14:textId="4E7A66A2" w:rsidR="00351092" w:rsidRPr="00351092" w:rsidRDefault="00351092" w:rsidP="00351092">
      <w:pPr>
        <w:pStyle w:val="Caption"/>
        <w:keepNext/>
        <w:jc w:val="center"/>
        <w:rPr>
          <w:u w:val="none"/>
        </w:rPr>
      </w:pPr>
      <w:bookmarkStart w:id="1" w:name="_Ref93070485"/>
      <w:r w:rsidRPr="00351092">
        <w:rPr>
          <w:u w:val="none"/>
        </w:rPr>
        <w:t xml:space="preserve">Table </w:t>
      </w:r>
      <w:r w:rsidRPr="00351092">
        <w:rPr>
          <w:u w:val="none"/>
        </w:rPr>
        <w:fldChar w:fldCharType="begin"/>
      </w:r>
      <w:r w:rsidRPr="00351092">
        <w:rPr>
          <w:u w:val="none"/>
        </w:rPr>
        <w:instrText xml:space="preserve"> SEQ Table \* ARABIC </w:instrText>
      </w:r>
      <w:r w:rsidRPr="00351092">
        <w:rPr>
          <w:u w:val="none"/>
        </w:rPr>
        <w:fldChar w:fldCharType="separate"/>
      </w:r>
      <w:r w:rsidR="00C82D87">
        <w:rPr>
          <w:noProof/>
          <w:u w:val="none"/>
        </w:rPr>
        <w:t>1</w:t>
      </w:r>
      <w:r w:rsidRPr="00351092">
        <w:rPr>
          <w:u w:val="none"/>
        </w:rPr>
        <w:fldChar w:fldCharType="end"/>
      </w:r>
      <w:bookmarkEnd w:id="1"/>
      <w:r w:rsidRPr="00351092">
        <w:rPr>
          <w:u w:val="none"/>
        </w:rPr>
        <w:t xml:space="preserve"> - Existing peak-to-effective factors for Gaussian flash shape in Guideline G1135</w:t>
      </w:r>
    </w:p>
    <w:p w14:paraId="751CA575" w14:textId="2B46FA80" w:rsidR="00992929" w:rsidRPr="00351092" w:rsidRDefault="00351092" w:rsidP="00351092">
      <w:pPr>
        <w:pStyle w:val="BodyText"/>
        <w:keepNext/>
        <w:jc w:val="center"/>
      </w:pPr>
      <w:r w:rsidRPr="00351092">
        <w:rPr>
          <w:noProof/>
          <w:lang w:eastAsia="en-GB"/>
        </w:rPr>
        <w:drawing>
          <wp:inline distT="0" distB="0" distL="0" distR="0" wp14:anchorId="6B3EDD4C" wp14:editId="7CEB3F64">
            <wp:extent cx="4678761" cy="1603375"/>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13274" t="4208" r="14493" b="5896"/>
                    <a:stretch/>
                  </pic:blipFill>
                  <pic:spPr bwMode="auto">
                    <a:xfrm>
                      <a:off x="0" y="0"/>
                      <a:ext cx="4680807" cy="1604076"/>
                    </a:xfrm>
                    <a:prstGeom prst="rect">
                      <a:avLst/>
                    </a:prstGeom>
                    <a:ln>
                      <a:noFill/>
                    </a:ln>
                    <a:extLst>
                      <a:ext uri="{53640926-AAD7-44D8-BBD7-CCE9431645EC}">
                        <a14:shadowObscured xmlns:a14="http://schemas.microsoft.com/office/drawing/2010/main"/>
                      </a:ext>
                    </a:extLst>
                  </pic:spPr>
                </pic:pic>
              </a:graphicData>
            </a:graphic>
          </wp:inline>
        </w:drawing>
      </w:r>
    </w:p>
    <w:p w14:paraId="0BA0DA25" w14:textId="6EB097D6" w:rsidR="00FD1AA3" w:rsidRDefault="00351092" w:rsidP="00A446C9">
      <w:pPr>
        <w:pStyle w:val="BodyText"/>
        <w:rPr>
          <w:rFonts w:ascii="Calibri" w:hAnsi="Calibri"/>
        </w:rPr>
      </w:pPr>
      <w:r>
        <w:rPr>
          <w:rFonts w:ascii="Calibri" w:hAnsi="Calibri"/>
        </w:rPr>
        <w:t>Following a review of the data that was used to calculate the factors, it was found that the dataset for the Gaussian flash shape was not sufficiently large enough to capture the peak value. As such, the reported factor was under estimated for flash length greater than 0.1 s.</w:t>
      </w:r>
      <w:r w:rsidR="00C847E1">
        <w:rPr>
          <w:rFonts w:ascii="Calibri" w:hAnsi="Calibri"/>
        </w:rPr>
        <w:t xml:space="preserve"> The other flash shapes were not affected by this issue.</w:t>
      </w:r>
    </w:p>
    <w:p w14:paraId="300224DF" w14:textId="1FD240D2" w:rsidR="00FD1AA3" w:rsidRDefault="00C847E1" w:rsidP="00A446C9">
      <w:pPr>
        <w:pStyle w:val="BodyText"/>
        <w:rPr>
          <w:rFonts w:ascii="Calibri" w:hAnsi="Calibri"/>
        </w:rPr>
      </w:pPr>
      <w:r>
        <w:rPr>
          <w:rFonts w:ascii="Calibri" w:hAnsi="Calibri"/>
        </w:rPr>
        <w:t>The factors have been recalculated and they</w:t>
      </w:r>
      <w:r w:rsidR="00351092">
        <w:rPr>
          <w:rFonts w:ascii="Calibri" w:hAnsi="Calibri"/>
        </w:rPr>
        <w:t xml:space="preserve"> are shown in </w:t>
      </w:r>
      <w:r w:rsidR="00351092">
        <w:rPr>
          <w:rFonts w:ascii="Calibri" w:hAnsi="Calibri"/>
        </w:rPr>
        <w:fldChar w:fldCharType="begin"/>
      </w:r>
      <w:r w:rsidR="00351092">
        <w:rPr>
          <w:rFonts w:ascii="Calibri" w:hAnsi="Calibri"/>
        </w:rPr>
        <w:instrText xml:space="preserve"> REF _Ref93070804 </w:instrText>
      </w:r>
      <w:r w:rsidR="00351092">
        <w:rPr>
          <w:rFonts w:ascii="Calibri" w:hAnsi="Calibri"/>
        </w:rPr>
        <w:fldChar w:fldCharType="separate"/>
      </w:r>
      <w:r w:rsidR="00351092" w:rsidRPr="00351092">
        <w:t xml:space="preserve">Table </w:t>
      </w:r>
      <w:r w:rsidR="00351092" w:rsidRPr="00351092">
        <w:rPr>
          <w:noProof/>
        </w:rPr>
        <w:t>2</w:t>
      </w:r>
      <w:r w:rsidR="00351092">
        <w:rPr>
          <w:rFonts w:ascii="Calibri" w:hAnsi="Calibri"/>
        </w:rPr>
        <w:fldChar w:fldCharType="end"/>
      </w:r>
      <w:r w:rsidR="00351092">
        <w:rPr>
          <w:rFonts w:ascii="Calibri" w:hAnsi="Calibri"/>
        </w:rPr>
        <w:t>.</w:t>
      </w:r>
    </w:p>
    <w:p w14:paraId="78D049CC" w14:textId="015F7A0A" w:rsidR="00351092" w:rsidRPr="00351092" w:rsidRDefault="00351092" w:rsidP="00351092">
      <w:pPr>
        <w:pStyle w:val="Caption"/>
        <w:keepNext/>
        <w:jc w:val="center"/>
        <w:rPr>
          <w:u w:val="none"/>
        </w:rPr>
      </w:pPr>
      <w:bookmarkStart w:id="2" w:name="_Ref93070804"/>
      <w:r w:rsidRPr="00351092">
        <w:rPr>
          <w:u w:val="none"/>
        </w:rPr>
        <w:lastRenderedPageBreak/>
        <w:t xml:space="preserve">Table </w:t>
      </w:r>
      <w:r w:rsidRPr="00351092">
        <w:rPr>
          <w:u w:val="none"/>
        </w:rPr>
        <w:fldChar w:fldCharType="begin"/>
      </w:r>
      <w:r w:rsidRPr="00351092">
        <w:rPr>
          <w:u w:val="none"/>
        </w:rPr>
        <w:instrText xml:space="preserve"> SEQ Table \* ARABIC </w:instrText>
      </w:r>
      <w:r w:rsidRPr="00351092">
        <w:rPr>
          <w:u w:val="none"/>
        </w:rPr>
        <w:fldChar w:fldCharType="separate"/>
      </w:r>
      <w:r w:rsidR="00C82D87">
        <w:rPr>
          <w:noProof/>
          <w:u w:val="none"/>
        </w:rPr>
        <w:t>2</w:t>
      </w:r>
      <w:r w:rsidRPr="00351092">
        <w:rPr>
          <w:u w:val="none"/>
        </w:rPr>
        <w:fldChar w:fldCharType="end"/>
      </w:r>
      <w:bookmarkEnd w:id="2"/>
      <w:r w:rsidRPr="00351092">
        <w:rPr>
          <w:u w:val="none"/>
        </w:rPr>
        <w:t xml:space="preserve"> – Corrected peak-to-effective intensity factors for Gaussian flash shape</w:t>
      </w:r>
    </w:p>
    <w:p w14:paraId="00EC0BCC" w14:textId="25259354" w:rsidR="00180DDA" w:rsidRDefault="00FD1AA3" w:rsidP="00C847E1">
      <w:pPr>
        <w:pStyle w:val="BodyText"/>
        <w:jc w:val="center"/>
        <w:rPr>
          <w:rFonts w:ascii="Calibri" w:hAnsi="Calibri"/>
        </w:rPr>
      </w:pPr>
      <w:r w:rsidRPr="00FD1AA3">
        <w:rPr>
          <w:noProof/>
          <w:lang w:eastAsia="en-GB"/>
        </w:rPr>
        <w:drawing>
          <wp:inline distT="0" distB="0" distL="0" distR="0" wp14:anchorId="3818C9A6" wp14:editId="71CAE3C8">
            <wp:extent cx="4667392" cy="1596349"/>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13381" t="4207" r="14552" b="6279"/>
                    <a:stretch/>
                  </pic:blipFill>
                  <pic:spPr bwMode="auto">
                    <a:xfrm>
                      <a:off x="0" y="0"/>
                      <a:ext cx="4670050" cy="1597258"/>
                    </a:xfrm>
                    <a:prstGeom prst="rect">
                      <a:avLst/>
                    </a:prstGeom>
                    <a:ln>
                      <a:noFill/>
                    </a:ln>
                    <a:extLst>
                      <a:ext uri="{53640926-AAD7-44D8-BBD7-CCE9431645EC}">
                        <a14:shadowObscured xmlns:a14="http://schemas.microsoft.com/office/drawing/2010/main"/>
                      </a:ext>
                    </a:extLst>
                  </pic:spPr>
                </pic:pic>
              </a:graphicData>
            </a:graphic>
          </wp:inline>
        </w:drawing>
      </w:r>
    </w:p>
    <w:p w14:paraId="2D91C5AC" w14:textId="3D787725" w:rsidR="00C82D87" w:rsidRPr="00C847E1" w:rsidRDefault="00C82D87" w:rsidP="00C82D87">
      <w:pPr>
        <w:pStyle w:val="BodyText"/>
        <w:jc w:val="left"/>
        <w:rPr>
          <w:rFonts w:ascii="Calibri" w:hAnsi="Calibri"/>
        </w:rPr>
      </w:pPr>
      <w:r>
        <w:rPr>
          <w:rFonts w:ascii="Calibri" w:hAnsi="Calibri"/>
        </w:rPr>
        <w:t xml:space="preserve">For convenience, the updated tables for inclusion into Guideline G1135 are given in </w:t>
      </w:r>
      <w:r>
        <w:rPr>
          <w:rFonts w:ascii="Calibri" w:hAnsi="Calibri"/>
        </w:rPr>
        <w:fldChar w:fldCharType="begin"/>
      </w:r>
      <w:r>
        <w:rPr>
          <w:rFonts w:ascii="Calibri" w:hAnsi="Calibri"/>
        </w:rPr>
        <w:instrText xml:space="preserve"> REF  _Ref93924899 \* Caps \r </w:instrText>
      </w:r>
      <w:r>
        <w:rPr>
          <w:rFonts w:ascii="Calibri" w:hAnsi="Calibri"/>
        </w:rPr>
        <w:fldChar w:fldCharType="separate"/>
      </w:r>
      <w:r>
        <w:rPr>
          <w:rFonts w:ascii="Calibri" w:hAnsi="Calibri"/>
        </w:rPr>
        <w:t>Annex A</w:t>
      </w:r>
      <w:r>
        <w:rPr>
          <w:rFonts w:ascii="Calibri" w:hAnsi="Calibri"/>
        </w:rPr>
        <w:fldChar w:fldCharType="end"/>
      </w:r>
      <w:r>
        <w:rPr>
          <w:rFonts w:ascii="Calibri" w:hAnsi="Calibri"/>
        </w:rPr>
        <w:t xml:space="preserve"> of this paper</w:t>
      </w:r>
      <w:bookmarkStart w:id="3" w:name="_GoBack"/>
      <w:bookmarkEnd w:id="3"/>
      <w:r>
        <w:rPr>
          <w:rFonts w:ascii="Calibri" w:hAnsi="Calibri"/>
        </w:rPr>
        <w:t>.</w:t>
      </w:r>
    </w:p>
    <w:p w14:paraId="7A8D2F27" w14:textId="77777777" w:rsidR="00A446C9" w:rsidRPr="007A395D" w:rsidRDefault="00A446C9" w:rsidP="00605E43">
      <w:pPr>
        <w:pStyle w:val="Heading1"/>
      </w:pPr>
      <w:r w:rsidRPr="007A395D">
        <w:t>Action requested of the Committee</w:t>
      </w:r>
    </w:p>
    <w:p w14:paraId="10DC5D6B" w14:textId="2767AB5B" w:rsidR="004D1D85" w:rsidRDefault="00B67A23" w:rsidP="00B67A23">
      <w:pPr>
        <w:pStyle w:val="BodyText"/>
      </w:pPr>
      <w:r>
        <w:rPr>
          <w:rFonts w:ascii="Calibri" w:hAnsi="Calibri"/>
        </w:rPr>
        <w:t>The Committee is requested to u</w:t>
      </w:r>
      <w:r>
        <w:t>pdate Annex B in Guideline G1135 with the corrected effective intensity factors for the Gaussian flash shape.</w:t>
      </w:r>
    </w:p>
    <w:p w14:paraId="4F258126" w14:textId="2762E37D" w:rsidR="00B92239" w:rsidRDefault="00B92239" w:rsidP="00B67A23">
      <w:pPr>
        <w:pStyle w:val="BodyText"/>
      </w:pPr>
    </w:p>
    <w:p w14:paraId="17BDEA4F" w14:textId="6BD29F81" w:rsidR="00B92239" w:rsidRDefault="00B92239">
      <w:pPr>
        <w:spacing w:line="240" w:lineRule="auto"/>
        <w:rPr>
          <w:sz w:val="22"/>
        </w:rPr>
      </w:pPr>
      <w:r>
        <w:br w:type="page"/>
      </w:r>
    </w:p>
    <w:p w14:paraId="44DD177E" w14:textId="10FB8FBF" w:rsidR="00B92239" w:rsidRDefault="00B92239" w:rsidP="00B92239">
      <w:pPr>
        <w:pStyle w:val="Annex"/>
      </w:pPr>
      <w:bookmarkStart w:id="4" w:name="_Ref93924899"/>
      <w:r>
        <w:lastRenderedPageBreak/>
        <w:t>Updated tables</w:t>
      </w:r>
      <w:bookmarkEnd w:id="4"/>
    </w:p>
    <w:p w14:paraId="63508409" w14:textId="173FA838" w:rsidR="00C82D87" w:rsidRDefault="00C82D87" w:rsidP="00C82D87">
      <w:pPr>
        <w:pStyle w:val="Caption"/>
        <w:keepNext/>
        <w:jc w:val="center"/>
        <w:rPr>
          <w:u w:val="none"/>
        </w:rPr>
      </w:pPr>
      <w:r w:rsidRPr="00C82D87">
        <w:rPr>
          <w:u w:val="none"/>
        </w:rPr>
        <w:t xml:space="preserve">Table </w:t>
      </w:r>
      <w:r w:rsidRPr="00C82D87">
        <w:rPr>
          <w:u w:val="none"/>
        </w:rPr>
        <w:fldChar w:fldCharType="begin"/>
      </w:r>
      <w:r w:rsidRPr="00C82D87">
        <w:rPr>
          <w:u w:val="none"/>
        </w:rPr>
        <w:instrText xml:space="preserve"> SEQ Table \* ARABIC </w:instrText>
      </w:r>
      <w:r w:rsidRPr="00C82D87">
        <w:rPr>
          <w:u w:val="none"/>
        </w:rPr>
        <w:fldChar w:fldCharType="separate"/>
      </w:r>
      <w:r>
        <w:rPr>
          <w:noProof/>
          <w:u w:val="none"/>
        </w:rPr>
        <w:t>3</w:t>
      </w:r>
      <w:r w:rsidRPr="00C82D87">
        <w:rPr>
          <w:u w:val="none"/>
        </w:rPr>
        <w:fldChar w:fldCharType="end"/>
      </w:r>
      <w:r w:rsidRPr="00C82D87">
        <w:rPr>
          <w:u w:val="none"/>
        </w:rPr>
        <w:t xml:space="preserve"> - Updated table for Section B.1 in IALA Guideline G1135</w:t>
      </w:r>
    </w:p>
    <w:p w14:paraId="3A337BD3" w14:textId="77777777" w:rsidR="00C82D87" w:rsidRPr="00C82D87" w:rsidRDefault="00C82D87" w:rsidP="00C82D87"/>
    <w:p w14:paraId="57086DDA" w14:textId="32144506" w:rsidR="00B92239" w:rsidRDefault="00B92239" w:rsidP="00B92239">
      <w:pPr>
        <w:pStyle w:val="BodyText"/>
      </w:pPr>
      <w:r w:rsidRPr="00B92239">
        <w:drawing>
          <wp:inline distT="0" distB="0" distL="0" distR="0" wp14:anchorId="1777C874" wp14:editId="4CB40AEF">
            <wp:extent cx="6468567" cy="2092960"/>
            <wp:effectExtent l="19050" t="19050" r="27940" b="215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175" t="539" r="-1"/>
                    <a:stretch/>
                  </pic:blipFill>
                  <pic:spPr bwMode="auto">
                    <a:xfrm>
                      <a:off x="0" y="0"/>
                      <a:ext cx="6468830" cy="2093045"/>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14:paraId="4EA8B49F" w14:textId="0F411DEF" w:rsidR="00B92239" w:rsidRDefault="00B92239" w:rsidP="00B92239">
      <w:pPr>
        <w:pStyle w:val="BodyText"/>
      </w:pPr>
    </w:p>
    <w:p w14:paraId="50261518" w14:textId="60040731" w:rsidR="00B92239" w:rsidRDefault="00B92239" w:rsidP="00B92239">
      <w:pPr>
        <w:pStyle w:val="BodyText"/>
      </w:pPr>
    </w:p>
    <w:p w14:paraId="7F1D171D" w14:textId="758F3C80" w:rsidR="00C82D87" w:rsidRDefault="00C82D87" w:rsidP="00C82D87">
      <w:pPr>
        <w:pStyle w:val="Caption"/>
        <w:keepNext/>
        <w:jc w:val="center"/>
        <w:rPr>
          <w:u w:val="none"/>
        </w:rPr>
      </w:pPr>
      <w:r w:rsidRPr="00C82D87">
        <w:rPr>
          <w:u w:val="none"/>
        </w:rPr>
        <w:t xml:space="preserve">Table </w:t>
      </w:r>
      <w:r w:rsidRPr="00C82D87">
        <w:rPr>
          <w:u w:val="none"/>
        </w:rPr>
        <w:fldChar w:fldCharType="begin"/>
      </w:r>
      <w:r w:rsidRPr="00C82D87">
        <w:rPr>
          <w:u w:val="none"/>
        </w:rPr>
        <w:instrText xml:space="preserve"> SEQ Table \* ARABIC </w:instrText>
      </w:r>
      <w:r w:rsidRPr="00C82D87">
        <w:rPr>
          <w:u w:val="none"/>
        </w:rPr>
        <w:fldChar w:fldCharType="separate"/>
      </w:r>
      <w:r w:rsidRPr="00C82D87">
        <w:rPr>
          <w:noProof/>
          <w:u w:val="none"/>
        </w:rPr>
        <w:t>4</w:t>
      </w:r>
      <w:r w:rsidRPr="00C82D87">
        <w:rPr>
          <w:u w:val="none"/>
        </w:rPr>
        <w:fldChar w:fldCharType="end"/>
      </w:r>
      <w:r w:rsidRPr="00C82D87">
        <w:rPr>
          <w:u w:val="none"/>
        </w:rPr>
        <w:t xml:space="preserve"> - </w:t>
      </w:r>
      <w:r w:rsidRPr="00C82D87">
        <w:rPr>
          <w:u w:val="none"/>
        </w:rPr>
        <w:t>Updated table for Section B.</w:t>
      </w:r>
      <w:r>
        <w:rPr>
          <w:u w:val="none"/>
        </w:rPr>
        <w:t>2</w:t>
      </w:r>
      <w:r w:rsidRPr="00C82D87">
        <w:rPr>
          <w:u w:val="none"/>
        </w:rPr>
        <w:t xml:space="preserve"> in IALA Guideline G1135</w:t>
      </w:r>
    </w:p>
    <w:p w14:paraId="75D5CEF7" w14:textId="77777777" w:rsidR="00C82D87" w:rsidRPr="00C82D87" w:rsidRDefault="00C82D87" w:rsidP="00C82D87"/>
    <w:p w14:paraId="1594DBF6" w14:textId="2A77A09C" w:rsidR="00B92239" w:rsidRPr="00B92239" w:rsidRDefault="00B92239" w:rsidP="00B92239">
      <w:pPr>
        <w:pStyle w:val="BodyText"/>
      </w:pPr>
      <w:r w:rsidRPr="00B92239">
        <w:drawing>
          <wp:inline distT="0" distB="0" distL="0" distR="0" wp14:anchorId="4A5957D0" wp14:editId="7AAEF623">
            <wp:extent cx="6461125" cy="2096770"/>
            <wp:effectExtent l="19050" t="19050" r="15875" b="177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294" t="362"/>
                    <a:stretch/>
                  </pic:blipFill>
                  <pic:spPr bwMode="auto">
                    <a:xfrm>
                      <a:off x="0" y="0"/>
                      <a:ext cx="6461125" cy="2096770"/>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sectPr w:rsidR="00B92239" w:rsidRPr="00B92239" w:rsidSect="00B67A23">
      <w:pgSz w:w="11906" w:h="16838"/>
      <w:pgMar w:top="1733" w:right="794" w:bottom="567" w:left="907" w:header="564" w:footer="6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049163" w14:textId="77777777" w:rsidR="005364C6" w:rsidRDefault="005364C6" w:rsidP="00362CD9">
      <w:r>
        <w:separator/>
      </w:r>
    </w:p>
  </w:endnote>
  <w:endnote w:type="continuationSeparator" w:id="0">
    <w:p w14:paraId="2D84C552" w14:textId="77777777" w:rsidR="005364C6" w:rsidRDefault="005364C6"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2700BF" w14:textId="77777777" w:rsidR="005364C6" w:rsidRDefault="005364C6" w:rsidP="00362CD9">
      <w:r>
        <w:separator/>
      </w:r>
    </w:p>
  </w:footnote>
  <w:footnote w:type="continuationSeparator" w:id="0">
    <w:p w14:paraId="127F717B" w14:textId="77777777" w:rsidR="005364C6" w:rsidRDefault="005364C6" w:rsidP="00362CD9">
      <w:r>
        <w:continuationSeparator/>
      </w:r>
    </w:p>
  </w:footnote>
  <w:footnote w:id="1">
    <w:p w14:paraId="741FE09C" w14:textId="56CC54BF" w:rsidR="00420A38" w:rsidRPr="00C02DDD" w:rsidRDefault="00420A38">
      <w:pPr>
        <w:pStyle w:val="FootnoteText"/>
      </w:pPr>
      <w:r w:rsidRPr="00C02DDD">
        <w:footnoteRef/>
      </w:r>
      <w:r>
        <w:t xml:space="preserve"> </w:t>
      </w:r>
      <w:r w:rsidR="00EA5A97" w:rsidRPr="00C02DDD">
        <w:t>Input document number, to be assigned by the Committee Secretary</w:t>
      </w:r>
    </w:p>
  </w:footnote>
  <w:footnote w:id="2">
    <w:p w14:paraId="13DFA22D" w14:textId="3BCF7A71" w:rsidR="00037DF4" w:rsidRPr="00037DF4" w:rsidRDefault="00037DF4">
      <w:pPr>
        <w:pStyle w:val="FootnoteText"/>
      </w:pPr>
      <w:r w:rsidRPr="00C02DDD">
        <w:footnoteRef/>
      </w:r>
      <w:r w:rsidRPr="00037DF4">
        <w:t xml:space="preserve"> </w:t>
      </w:r>
      <w:r w:rsidRPr="00C02DDD">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4"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5"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3"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8"/>
  </w:num>
  <w:num w:numId="4">
    <w:abstractNumId w:val="41"/>
  </w:num>
  <w:num w:numId="5">
    <w:abstractNumId w:val="31"/>
  </w:num>
  <w:num w:numId="6">
    <w:abstractNumId w:val="11"/>
  </w:num>
  <w:num w:numId="7">
    <w:abstractNumId w:val="44"/>
  </w:num>
  <w:num w:numId="8">
    <w:abstractNumId w:val="26"/>
  </w:num>
  <w:num w:numId="9">
    <w:abstractNumId w:val="20"/>
  </w:num>
  <w:num w:numId="10">
    <w:abstractNumId w:val="35"/>
  </w:num>
  <w:num w:numId="11">
    <w:abstractNumId w:val="34"/>
  </w:num>
  <w:num w:numId="12">
    <w:abstractNumId w:val="30"/>
  </w:num>
  <w:num w:numId="13">
    <w:abstractNumId w:val="42"/>
  </w:num>
  <w:num w:numId="14">
    <w:abstractNumId w:val="16"/>
  </w:num>
  <w:num w:numId="15">
    <w:abstractNumId w:val="48"/>
  </w:num>
  <w:num w:numId="16">
    <w:abstractNumId w:val="29"/>
  </w:num>
  <w:num w:numId="17">
    <w:abstractNumId w:val="17"/>
  </w:num>
  <w:num w:numId="18">
    <w:abstractNumId w:val="38"/>
  </w:num>
  <w:num w:numId="19">
    <w:abstractNumId w:val="29"/>
  </w:num>
  <w:num w:numId="20">
    <w:abstractNumId w:val="29"/>
  </w:num>
  <w:num w:numId="21">
    <w:abstractNumId w:val="29"/>
  </w:num>
  <w:num w:numId="22">
    <w:abstractNumId w:val="29"/>
  </w:num>
  <w:num w:numId="23">
    <w:abstractNumId w:val="39"/>
  </w:num>
  <w:num w:numId="24">
    <w:abstractNumId w:val="10"/>
  </w:num>
  <w:num w:numId="25">
    <w:abstractNumId w:val="10"/>
  </w:num>
  <w:num w:numId="26">
    <w:abstractNumId w:val="10"/>
  </w:num>
  <w:num w:numId="27">
    <w:abstractNumId w:val="22"/>
  </w:num>
  <w:num w:numId="28">
    <w:abstractNumId w:val="22"/>
  </w:num>
  <w:num w:numId="29">
    <w:abstractNumId w:val="22"/>
  </w:num>
  <w:num w:numId="30">
    <w:abstractNumId w:val="22"/>
  </w:num>
  <w:num w:numId="31">
    <w:abstractNumId w:val="22"/>
  </w:num>
  <w:num w:numId="32">
    <w:abstractNumId w:val="22"/>
  </w:num>
  <w:num w:numId="33">
    <w:abstractNumId w:val="36"/>
  </w:num>
  <w:num w:numId="34">
    <w:abstractNumId w:val="36"/>
  </w:num>
  <w:num w:numId="35">
    <w:abstractNumId w:val="36"/>
  </w:num>
  <w:num w:numId="36">
    <w:abstractNumId w:val="27"/>
  </w:num>
  <w:num w:numId="37">
    <w:abstractNumId w:val="16"/>
  </w:num>
  <w:num w:numId="38">
    <w:abstractNumId w:val="30"/>
  </w:num>
  <w:num w:numId="39">
    <w:abstractNumId w:val="29"/>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num>
  <w:num w:numId="44">
    <w:abstractNumId w:val="28"/>
  </w:num>
  <w:num w:numId="45">
    <w:abstractNumId w:val="32"/>
  </w:num>
  <w:num w:numId="46">
    <w:abstractNumId w:val="49"/>
  </w:num>
  <w:num w:numId="47">
    <w:abstractNumId w:val="13"/>
  </w:num>
  <w:num w:numId="48">
    <w:abstractNumId w:val="21"/>
  </w:num>
  <w:num w:numId="49">
    <w:abstractNumId w:val="14"/>
  </w:num>
  <w:num w:numId="50">
    <w:abstractNumId w:val="12"/>
  </w:num>
  <w:num w:numId="51">
    <w:abstractNumId w:val="19"/>
  </w:num>
  <w:num w:numId="52">
    <w:abstractNumId w:val="43"/>
  </w:num>
  <w:num w:numId="53">
    <w:abstractNumId w:val="46"/>
  </w:num>
  <w:num w:numId="54">
    <w:abstractNumId w:val="15"/>
  </w:num>
  <w:num w:numId="55">
    <w:abstractNumId w:val="47"/>
  </w:num>
  <w:num w:numId="56">
    <w:abstractNumId w:val="40"/>
  </w:num>
  <w:num w:numId="57">
    <w:abstractNumId w:val="25"/>
  </w:num>
  <w:num w:numId="58">
    <w:abstractNumId w:val="8"/>
  </w:num>
  <w:num w:numId="59">
    <w:abstractNumId w:val="6"/>
  </w:num>
  <w:num w:numId="60">
    <w:abstractNumId w:val="5"/>
  </w:num>
  <w:num w:numId="61">
    <w:abstractNumId w:val="4"/>
  </w:num>
  <w:num w:numId="62">
    <w:abstractNumId w:val="3"/>
  </w:num>
  <w:num w:numId="63">
    <w:abstractNumId w:val="1"/>
  </w:num>
  <w:num w:numId="64">
    <w:abstractNumId w:val="0"/>
  </w:num>
  <w:num w:numId="65">
    <w:abstractNumId w:val="37"/>
  </w:num>
  <w:num w:numId="66">
    <w:abstractNumId w:val="45"/>
  </w:num>
  <w:num w:numId="67">
    <w:abstractNumId w:val="24"/>
  </w:num>
  <w:num w:numId="6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3"/>
  </w:num>
  <w:num w:numId="7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3"/>
  </w:num>
  <w:num w:numId="7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proofState w:spelling="clean" w:grammar="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36B9E"/>
    <w:rsid w:val="00037DF4"/>
    <w:rsid w:val="0004700E"/>
    <w:rsid w:val="00057FCA"/>
    <w:rsid w:val="00070C13"/>
    <w:rsid w:val="000715C9"/>
    <w:rsid w:val="00084F33"/>
    <w:rsid w:val="000A77A7"/>
    <w:rsid w:val="000B1707"/>
    <w:rsid w:val="000C1B3E"/>
    <w:rsid w:val="000C349E"/>
    <w:rsid w:val="00110203"/>
    <w:rsid w:val="00110AE7"/>
    <w:rsid w:val="001241C8"/>
    <w:rsid w:val="00177F4D"/>
    <w:rsid w:val="00180DDA"/>
    <w:rsid w:val="001B2A2D"/>
    <w:rsid w:val="001B737D"/>
    <w:rsid w:val="001C44A3"/>
    <w:rsid w:val="001C77BB"/>
    <w:rsid w:val="001E0E15"/>
    <w:rsid w:val="001F528A"/>
    <w:rsid w:val="001F704E"/>
    <w:rsid w:val="00201722"/>
    <w:rsid w:val="002125B0"/>
    <w:rsid w:val="00221E08"/>
    <w:rsid w:val="00237D7C"/>
    <w:rsid w:val="00243228"/>
    <w:rsid w:val="00251483"/>
    <w:rsid w:val="00255CAA"/>
    <w:rsid w:val="0025741F"/>
    <w:rsid w:val="00264305"/>
    <w:rsid w:val="00286FEF"/>
    <w:rsid w:val="002A0346"/>
    <w:rsid w:val="002A0929"/>
    <w:rsid w:val="002A4487"/>
    <w:rsid w:val="002B49E9"/>
    <w:rsid w:val="002C632E"/>
    <w:rsid w:val="002D3E8B"/>
    <w:rsid w:val="002D4575"/>
    <w:rsid w:val="002D5C0C"/>
    <w:rsid w:val="002E03D1"/>
    <w:rsid w:val="002E6B74"/>
    <w:rsid w:val="002E6FCA"/>
    <w:rsid w:val="003351C4"/>
    <w:rsid w:val="00351092"/>
    <w:rsid w:val="0035243F"/>
    <w:rsid w:val="00356CD0"/>
    <w:rsid w:val="00362CD9"/>
    <w:rsid w:val="003761CA"/>
    <w:rsid w:val="0038049E"/>
    <w:rsid w:val="00380DAF"/>
    <w:rsid w:val="003972CE"/>
    <w:rsid w:val="003B2635"/>
    <w:rsid w:val="003B28F5"/>
    <w:rsid w:val="003B2E00"/>
    <w:rsid w:val="003B7B7D"/>
    <w:rsid w:val="003C54CB"/>
    <w:rsid w:val="003C7A2A"/>
    <w:rsid w:val="003D25A2"/>
    <w:rsid w:val="003D2DC1"/>
    <w:rsid w:val="003D69D0"/>
    <w:rsid w:val="003F2918"/>
    <w:rsid w:val="003F430E"/>
    <w:rsid w:val="0041088C"/>
    <w:rsid w:val="0041230E"/>
    <w:rsid w:val="00420A38"/>
    <w:rsid w:val="00426DB3"/>
    <w:rsid w:val="00431B19"/>
    <w:rsid w:val="004533B7"/>
    <w:rsid w:val="004661AD"/>
    <w:rsid w:val="004D1D85"/>
    <w:rsid w:val="004D3C3A"/>
    <w:rsid w:val="004E1CD1"/>
    <w:rsid w:val="004F7616"/>
    <w:rsid w:val="0050690E"/>
    <w:rsid w:val="005107EB"/>
    <w:rsid w:val="00521345"/>
    <w:rsid w:val="00526DF0"/>
    <w:rsid w:val="005364C6"/>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35ADD"/>
    <w:rsid w:val="00637047"/>
    <w:rsid w:val="006652C3"/>
    <w:rsid w:val="00691FD0"/>
    <w:rsid w:val="00692148"/>
    <w:rsid w:val="006A1A1E"/>
    <w:rsid w:val="006C5948"/>
    <w:rsid w:val="006D09FD"/>
    <w:rsid w:val="006E2121"/>
    <w:rsid w:val="006F2A74"/>
    <w:rsid w:val="007118F5"/>
    <w:rsid w:val="00712AA4"/>
    <w:rsid w:val="007146C4"/>
    <w:rsid w:val="00721AA1"/>
    <w:rsid w:val="00724B67"/>
    <w:rsid w:val="007547F8"/>
    <w:rsid w:val="00765622"/>
    <w:rsid w:val="00770B6C"/>
    <w:rsid w:val="00774730"/>
    <w:rsid w:val="00783FEA"/>
    <w:rsid w:val="007926DC"/>
    <w:rsid w:val="007A395D"/>
    <w:rsid w:val="007C346C"/>
    <w:rsid w:val="007D63E3"/>
    <w:rsid w:val="0080294B"/>
    <w:rsid w:val="0082480E"/>
    <w:rsid w:val="00850293"/>
    <w:rsid w:val="00851373"/>
    <w:rsid w:val="00851BA6"/>
    <w:rsid w:val="0085654D"/>
    <w:rsid w:val="00861160"/>
    <w:rsid w:val="00861801"/>
    <w:rsid w:val="0086654F"/>
    <w:rsid w:val="008702A8"/>
    <w:rsid w:val="0087239B"/>
    <w:rsid w:val="00892CA4"/>
    <w:rsid w:val="008A356F"/>
    <w:rsid w:val="008A3ECA"/>
    <w:rsid w:val="008A4653"/>
    <w:rsid w:val="008A4717"/>
    <w:rsid w:val="008A50CC"/>
    <w:rsid w:val="008D1694"/>
    <w:rsid w:val="008D79CB"/>
    <w:rsid w:val="008E28CC"/>
    <w:rsid w:val="008F07BC"/>
    <w:rsid w:val="00904066"/>
    <w:rsid w:val="0092692B"/>
    <w:rsid w:val="00943E9C"/>
    <w:rsid w:val="00953F4D"/>
    <w:rsid w:val="00960BB8"/>
    <w:rsid w:val="00964F5C"/>
    <w:rsid w:val="00973B57"/>
    <w:rsid w:val="009831C0"/>
    <w:rsid w:val="009874F9"/>
    <w:rsid w:val="0099161D"/>
    <w:rsid w:val="00992929"/>
    <w:rsid w:val="009C5F41"/>
    <w:rsid w:val="00A01B17"/>
    <w:rsid w:val="00A0389B"/>
    <w:rsid w:val="00A26017"/>
    <w:rsid w:val="00A446C9"/>
    <w:rsid w:val="00A56C33"/>
    <w:rsid w:val="00A635D6"/>
    <w:rsid w:val="00A72757"/>
    <w:rsid w:val="00A800A9"/>
    <w:rsid w:val="00A8553A"/>
    <w:rsid w:val="00A93AED"/>
    <w:rsid w:val="00AE1319"/>
    <w:rsid w:val="00AE34BB"/>
    <w:rsid w:val="00B0084A"/>
    <w:rsid w:val="00B0520E"/>
    <w:rsid w:val="00B226F2"/>
    <w:rsid w:val="00B274DF"/>
    <w:rsid w:val="00B351F6"/>
    <w:rsid w:val="00B56BDF"/>
    <w:rsid w:val="00B65812"/>
    <w:rsid w:val="00B661C7"/>
    <w:rsid w:val="00B67A23"/>
    <w:rsid w:val="00B80530"/>
    <w:rsid w:val="00B85CD6"/>
    <w:rsid w:val="00B90A27"/>
    <w:rsid w:val="00B92239"/>
    <w:rsid w:val="00B93C77"/>
    <w:rsid w:val="00B9554D"/>
    <w:rsid w:val="00BA4DA9"/>
    <w:rsid w:val="00BB2B9F"/>
    <w:rsid w:val="00BB7D9E"/>
    <w:rsid w:val="00BC2334"/>
    <w:rsid w:val="00BD3CB8"/>
    <w:rsid w:val="00BD4E6F"/>
    <w:rsid w:val="00BE700D"/>
    <w:rsid w:val="00BF32F0"/>
    <w:rsid w:val="00BF4DCE"/>
    <w:rsid w:val="00C00FBE"/>
    <w:rsid w:val="00C02DDD"/>
    <w:rsid w:val="00C05CE5"/>
    <w:rsid w:val="00C52A4D"/>
    <w:rsid w:val="00C6171E"/>
    <w:rsid w:val="00C82D87"/>
    <w:rsid w:val="00C847E1"/>
    <w:rsid w:val="00C865DF"/>
    <w:rsid w:val="00C91815"/>
    <w:rsid w:val="00CA6F2C"/>
    <w:rsid w:val="00CC79CE"/>
    <w:rsid w:val="00CF1871"/>
    <w:rsid w:val="00D019CE"/>
    <w:rsid w:val="00D1133E"/>
    <w:rsid w:val="00D17A34"/>
    <w:rsid w:val="00D26628"/>
    <w:rsid w:val="00D332B3"/>
    <w:rsid w:val="00D423E5"/>
    <w:rsid w:val="00D55207"/>
    <w:rsid w:val="00D60825"/>
    <w:rsid w:val="00D81801"/>
    <w:rsid w:val="00D92B45"/>
    <w:rsid w:val="00D95962"/>
    <w:rsid w:val="00DC389B"/>
    <w:rsid w:val="00DE2FEE"/>
    <w:rsid w:val="00E00BE9"/>
    <w:rsid w:val="00E04761"/>
    <w:rsid w:val="00E22A11"/>
    <w:rsid w:val="00E31E5C"/>
    <w:rsid w:val="00E44DD2"/>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71ACC"/>
    <w:rsid w:val="00FB17A9"/>
    <w:rsid w:val="00FB527C"/>
    <w:rsid w:val="00FB6F75"/>
    <w:rsid w:val="00FC0EB3"/>
    <w:rsid w:val="00FD1AA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8339663">
      <w:bodyDiv w:val="1"/>
      <w:marLeft w:val="0"/>
      <w:marRight w:val="0"/>
      <w:marTop w:val="0"/>
      <w:marBottom w:val="0"/>
      <w:divBdr>
        <w:top w:val="none" w:sz="0" w:space="0" w:color="auto"/>
        <w:left w:val="none" w:sz="0" w:space="0" w:color="auto"/>
        <w:bottom w:val="none" w:sz="0" w:space="0" w:color="auto"/>
        <w:right w:val="none" w:sz="0" w:space="0" w:color="auto"/>
      </w:divBdr>
    </w:div>
    <w:div w:id="2061394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2.xml><?xml version="1.0" encoding="utf-8"?>
<ds:datastoreItem xmlns:ds="http://schemas.openxmlformats.org/officeDocument/2006/customXml" ds:itemID="{829C74E8-85F2-4580-9080-85C1FE20CE9A}"/>
</file>

<file path=customXml/itemProps3.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1440EDF-A0BB-4F17-8039-0446CCF85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412</TotalTime>
  <Pages>3</Pages>
  <Words>307</Words>
  <Characters>1752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Alwyn Williams</cp:lastModifiedBy>
  <cp:revision>5</cp:revision>
  <dcterms:created xsi:type="dcterms:W3CDTF">2022-01-14T10:07:00Z</dcterms:created>
  <dcterms:modified xsi:type="dcterms:W3CDTF">2022-01-24T14:00:00Z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