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D2927EB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3E0DC0" w:rsidRPr="003E0DC0">
        <w:rPr>
          <w:rFonts w:ascii="Calibri" w:hAnsi="Calibri"/>
          <w:color w:val="00558C"/>
          <w:sz w:val="24"/>
          <w:szCs w:val="24"/>
        </w:rPr>
        <w:t>ENG18-3.2.2.</w:t>
      </w:r>
      <w:r w:rsidR="003E0DC0">
        <w:rPr>
          <w:rFonts w:ascii="Calibri" w:hAnsi="Calibri"/>
          <w:color w:val="00558C"/>
          <w:sz w:val="24"/>
          <w:szCs w:val="24"/>
        </w:rPr>
        <w:t>8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0AAB8F28" w:rsidR="0080294B" w:rsidRPr="00B0084A" w:rsidRDefault="003E0DC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3D19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3D19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3E0DC0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B78832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64253DE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7F33B554" w:rsidR="00362CD9" w:rsidRPr="007A395D" w:rsidRDefault="00362CD9" w:rsidP="00C93D19">
      <w:pPr>
        <w:pStyle w:val="BodyText"/>
        <w:tabs>
          <w:tab w:val="left" w:pos="2835"/>
        </w:tabs>
        <w:ind w:left="3686" w:hanging="3686"/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93D19">
        <w:rPr>
          <w:rFonts w:ascii="Calibri" w:hAnsi="Calibri"/>
        </w:rPr>
        <w:t>Stefan Gewies (DLR)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1CBA9F8" w:rsidR="00A446C9" w:rsidRPr="00605E43" w:rsidRDefault="00C93D19" w:rsidP="0035243F">
      <w:pPr>
        <w:pStyle w:val="Title"/>
      </w:pPr>
      <w:r w:rsidRPr="00C93D19">
        <w:t>Intersessional work on draft of IALA Guideline on Medium Frequency R-Mode signal structure and navigation message</w:t>
      </w:r>
      <w:r w:rsidR="002A0929">
        <w:rPr>
          <w:rStyle w:val="FootnoteReference"/>
        </w:rPr>
        <w:footnoteReference w:id="3"/>
      </w:r>
    </w:p>
    <w:p w14:paraId="2CC2DB54" w14:textId="1D7E5617" w:rsidR="009874F9" w:rsidRPr="009874F9" w:rsidRDefault="00A446C9" w:rsidP="009874F9">
      <w:pPr>
        <w:pStyle w:val="Heading1"/>
      </w:pPr>
      <w:r w:rsidRPr="00B661C7">
        <w:t>Summary</w:t>
      </w:r>
    </w:p>
    <w:p w14:paraId="6CCD4498" w14:textId="77777777" w:rsidR="00FA4929" w:rsidRDefault="00FA4929" w:rsidP="00FA4929">
      <w:pPr>
        <w:pStyle w:val="Heading2"/>
        <w:rPr>
          <w:rFonts w:eastAsia="Calibri" w:cs="Calibri"/>
          <w:lang w:eastAsia="en-GB"/>
        </w:rPr>
      </w:pPr>
      <w:r>
        <w:rPr>
          <w:rFonts w:eastAsia="Calibri"/>
        </w:rPr>
        <w:t>Purpose of the document</w:t>
      </w:r>
    </w:p>
    <w:p w14:paraId="553E55ED" w14:textId="365EEBCC" w:rsidR="00E55927" w:rsidRPr="0035243F" w:rsidRDefault="00FA492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provides information about the intersessional work on the </w:t>
      </w:r>
      <w:r w:rsidR="009B3877">
        <w:rPr>
          <w:rFonts w:ascii="Calibri" w:hAnsi="Calibri"/>
        </w:rPr>
        <w:t>“</w:t>
      </w:r>
      <w:r w:rsidRPr="00C93D19">
        <w:t xml:space="preserve">IALA Guideline on Medium </w:t>
      </w:r>
      <w:r w:rsidR="009B3877">
        <w:t>F</w:t>
      </w:r>
      <w:r w:rsidRPr="00C93D19">
        <w:t xml:space="preserve">requency R-Mode </w:t>
      </w:r>
      <w:r w:rsidR="009B3877">
        <w:t>S</w:t>
      </w:r>
      <w:r w:rsidRPr="00C93D19">
        <w:t xml:space="preserve">ignal </w:t>
      </w:r>
      <w:r w:rsidR="009B3877">
        <w:t>S</w:t>
      </w:r>
      <w:r w:rsidRPr="00C93D19">
        <w:t xml:space="preserve">tructure and </w:t>
      </w:r>
      <w:r w:rsidR="009B3877">
        <w:t>N</w:t>
      </w:r>
      <w:r w:rsidRPr="00C93D19">
        <w:t xml:space="preserve">avigation </w:t>
      </w:r>
      <w:r w:rsidR="009B3877">
        <w:t>M</w:t>
      </w:r>
      <w:r w:rsidRPr="00C93D19">
        <w:t>essage</w:t>
      </w:r>
      <w:r w:rsidR="009B3877">
        <w:t>”</w:t>
      </w:r>
      <w:r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598E8F9" w14:textId="655E46B5" w:rsidR="00FA4929" w:rsidRDefault="009B56D3" w:rsidP="00FA4929">
      <w:pPr>
        <w:pStyle w:val="BodyText"/>
        <w:rPr>
          <w:rFonts w:ascii="Calibri" w:hAnsi="Calibri"/>
        </w:rPr>
      </w:pPr>
      <w:r>
        <w:rPr>
          <w:rFonts w:ascii="Calibri" w:hAnsi="Calibri"/>
        </w:rPr>
        <w:t>During ENG1</w:t>
      </w:r>
      <w:r w:rsidR="00F674DE">
        <w:rPr>
          <w:rFonts w:ascii="Calibri" w:hAnsi="Calibri"/>
        </w:rPr>
        <w:t>6</w:t>
      </w:r>
      <w:r>
        <w:rPr>
          <w:rFonts w:ascii="Calibri" w:hAnsi="Calibri"/>
        </w:rPr>
        <w:t xml:space="preserve"> committee meeting it was decided to </w:t>
      </w:r>
      <w:r w:rsidR="00FA4929">
        <w:rPr>
          <w:rFonts w:ascii="Calibri" w:hAnsi="Calibri"/>
        </w:rPr>
        <w:t xml:space="preserve">take the part of the description of the Medium Frequency (MF) R-Mode signal out from the draft of the </w:t>
      </w:r>
      <w:r w:rsidR="009B3877">
        <w:rPr>
          <w:rFonts w:ascii="Calibri" w:hAnsi="Calibri"/>
        </w:rPr>
        <w:t xml:space="preserve">“IALA </w:t>
      </w:r>
      <w:r w:rsidR="00FA4929">
        <w:rPr>
          <w:rFonts w:ascii="Calibri" w:hAnsi="Calibri"/>
        </w:rPr>
        <w:t xml:space="preserve">Guideline on </w:t>
      </w:r>
      <w:r w:rsidR="00FA4929" w:rsidRPr="00FA4929">
        <w:rPr>
          <w:rFonts w:ascii="Calibri" w:hAnsi="Calibri"/>
        </w:rPr>
        <w:t>Implementation of R-Mode on MF and VHF frequencies</w:t>
      </w:r>
      <w:r w:rsidR="009B3877">
        <w:rPr>
          <w:rFonts w:ascii="Calibri" w:hAnsi="Calibri"/>
        </w:rPr>
        <w:t>”</w:t>
      </w:r>
      <w:r w:rsidR="00FA4929">
        <w:rPr>
          <w:rFonts w:ascii="Calibri" w:hAnsi="Calibri"/>
        </w:rPr>
        <w:t xml:space="preserve"> and generate a new R-Mode related Guideline on </w:t>
      </w:r>
      <w:r w:rsidR="00FA4929">
        <w:t>MF</w:t>
      </w:r>
      <w:r w:rsidR="00FA4929" w:rsidRPr="00C93D19">
        <w:t xml:space="preserve"> R-Mode signal structure and navigation message</w:t>
      </w:r>
      <w:r w:rsidR="00FA4929">
        <w:t xml:space="preserve">. This is beneficial </w:t>
      </w:r>
      <w:r>
        <w:rPr>
          <w:rFonts w:ascii="Calibri" w:hAnsi="Calibri"/>
        </w:rPr>
        <w:t xml:space="preserve">because </w:t>
      </w:r>
    </w:p>
    <w:p w14:paraId="4CFF952F" w14:textId="6EE487A0" w:rsidR="00FA4929" w:rsidRDefault="009B56D3" w:rsidP="00FA4929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 xml:space="preserve">it will make </w:t>
      </w:r>
      <w:r w:rsidR="00FA4929">
        <w:rPr>
          <w:rFonts w:ascii="Calibri" w:hAnsi="Calibri"/>
        </w:rPr>
        <w:t xml:space="preserve">the MF R-Mode standardisation </w:t>
      </w:r>
      <w:r>
        <w:rPr>
          <w:rFonts w:ascii="Calibri" w:hAnsi="Calibri"/>
        </w:rPr>
        <w:t xml:space="preserve">more aligned </w:t>
      </w:r>
      <w:r w:rsidR="00FA4929">
        <w:rPr>
          <w:rFonts w:ascii="Calibri" w:hAnsi="Calibri"/>
        </w:rPr>
        <w:t>with the</w:t>
      </w:r>
      <w:r>
        <w:rPr>
          <w:rFonts w:ascii="Calibri" w:hAnsi="Calibri"/>
        </w:rPr>
        <w:t xml:space="preserve"> VDES R-Mode </w:t>
      </w:r>
      <w:r w:rsidR="00FA4929">
        <w:rPr>
          <w:rFonts w:ascii="Calibri" w:hAnsi="Calibri"/>
        </w:rPr>
        <w:t xml:space="preserve">standard </w:t>
      </w:r>
      <w:r>
        <w:rPr>
          <w:rFonts w:ascii="Calibri" w:hAnsi="Calibri"/>
        </w:rPr>
        <w:t>w</w:t>
      </w:r>
      <w:r w:rsidR="00FA4929">
        <w:rPr>
          <w:rFonts w:ascii="Calibri" w:hAnsi="Calibri"/>
        </w:rPr>
        <w:t>h</w:t>
      </w:r>
      <w:r>
        <w:rPr>
          <w:rFonts w:ascii="Calibri" w:hAnsi="Calibri"/>
        </w:rPr>
        <w:t xml:space="preserve">ere </w:t>
      </w:r>
      <w:r w:rsidR="00CE6A2E">
        <w:rPr>
          <w:rFonts w:ascii="Calibri" w:hAnsi="Calibri"/>
        </w:rPr>
        <w:t>the</w:t>
      </w:r>
      <w:r>
        <w:rPr>
          <w:rFonts w:ascii="Calibri" w:hAnsi="Calibri"/>
        </w:rPr>
        <w:t xml:space="preserve"> </w:t>
      </w:r>
      <w:r w:rsidR="00CE6A2E">
        <w:rPr>
          <w:rFonts w:ascii="Calibri" w:hAnsi="Calibri"/>
        </w:rPr>
        <w:t xml:space="preserve">IALA </w:t>
      </w:r>
      <w:r>
        <w:rPr>
          <w:rFonts w:ascii="Calibri" w:hAnsi="Calibri"/>
        </w:rPr>
        <w:t xml:space="preserve">Guideline </w:t>
      </w:r>
      <w:r w:rsidR="00CE6A2E">
        <w:rPr>
          <w:rFonts w:ascii="Calibri" w:hAnsi="Calibri"/>
        </w:rPr>
        <w:t xml:space="preserve">G1158 </w:t>
      </w:r>
      <w:sdt>
        <w:sdtPr>
          <w:rPr>
            <w:rFonts w:ascii="Calibri" w:hAnsi="Calibri"/>
          </w:rPr>
          <w:id w:val="-146977234"/>
          <w:citation/>
        </w:sdtPr>
        <w:sdtEndPr/>
        <w:sdtContent>
          <w:r w:rsidR="004A3DE4">
            <w:rPr>
              <w:rFonts w:ascii="Calibri" w:hAnsi="Calibri"/>
            </w:rPr>
            <w:fldChar w:fldCharType="begin"/>
          </w:r>
          <w:r w:rsidR="004A3DE4">
            <w:rPr>
              <w:rFonts w:ascii="Calibri" w:hAnsi="Calibri"/>
              <w:lang w:val="en-US"/>
            </w:rPr>
            <w:instrText xml:space="preserve">CITATION G1158 \l 1031 </w:instrText>
          </w:r>
          <w:r w:rsidR="004A3DE4">
            <w:rPr>
              <w:rFonts w:ascii="Calibri" w:hAnsi="Calibri"/>
            </w:rPr>
            <w:fldChar w:fldCharType="separate"/>
          </w:r>
          <w:r w:rsidR="004A3DE4" w:rsidRPr="00FA632A">
            <w:rPr>
              <w:rFonts w:ascii="Calibri" w:hAnsi="Calibri"/>
              <w:noProof/>
              <w:lang w:val="en-US"/>
            </w:rPr>
            <w:t>[1]</w:t>
          </w:r>
          <w:r w:rsidR="004A3DE4">
            <w:rPr>
              <w:rFonts w:ascii="Calibri" w:hAnsi="Calibri"/>
            </w:rPr>
            <w:fldChar w:fldCharType="end"/>
          </w:r>
        </w:sdtContent>
      </w:sdt>
      <w:r w:rsidR="004A3DE4">
        <w:rPr>
          <w:rFonts w:ascii="Calibri" w:hAnsi="Calibri"/>
        </w:rPr>
        <w:t xml:space="preserve"> </w:t>
      </w:r>
      <w:r w:rsidR="009B3877">
        <w:rPr>
          <w:rFonts w:ascii="Calibri" w:hAnsi="Calibri"/>
        </w:rPr>
        <w:t xml:space="preserve">describes </w:t>
      </w:r>
      <w:r>
        <w:rPr>
          <w:rFonts w:ascii="Calibri" w:hAnsi="Calibri"/>
        </w:rPr>
        <w:t xml:space="preserve">the R-Mode </w:t>
      </w:r>
      <w:r w:rsidR="00CE6A2E">
        <w:rPr>
          <w:rFonts w:ascii="Calibri" w:hAnsi="Calibri"/>
        </w:rPr>
        <w:t xml:space="preserve">ranging </w:t>
      </w:r>
      <w:r>
        <w:rPr>
          <w:rFonts w:ascii="Calibri" w:hAnsi="Calibri"/>
        </w:rPr>
        <w:t>signal</w:t>
      </w:r>
      <w:r w:rsidR="00CE6A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and </w:t>
      </w:r>
    </w:p>
    <w:p w14:paraId="07452EBC" w14:textId="44E89A83" w:rsidR="00A446C9" w:rsidRDefault="009B56D3" w:rsidP="00FA4929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secondly</w:t>
      </w:r>
      <w:r w:rsidR="009B3877">
        <w:rPr>
          <w:rFonts w:ascii="Calibri" w:hAnsi="Calibri"/>
        </w:rPr>
        <w:t>,</w:t>
      </w:r>
      <w:r>
        <w:rPr>
          <w:rFonts w:ascii="Calibri" w:hAnsi="Calibri"/>
        </w:rPr>
        <w:t xml:space="preserve"> with the </w:t>
      </w:r>
      <w:r w:rsidR="00DA2930">
        <w:rPr>
          <w:rFonts w:ascii="Calibri" w:hAnsi="Calibri"/>
        </w:rPr>
        <w:t>signal related</w:t>
      </w:r>
      <w:r>
        <w:rPr>
          <w:rFonts w:ascii="Calibri" w:hAnsi="Calibri"/>
        </w:rPr>
        <w:t xml:space="preserve"> MF R-Mode Guideline it </w:t>
      </w:r>
      <w:r w:rsidR="009B3877">
        <w:rPr>
          <w:rFonts w:ascii="Calibri" w:hAnsi="Calibri"/>
        </w:rPr>
        <w:t xml:space="preserve">will be </w:t>
      </w:r>
      <w:r>
        <w:rPr>
          <w:rFonts w:ascii="Calibri" w:hAnsi="Calibri"/>
        </w:rPr>
        <w:t xml:space="preserve">easier to </w:t>
      </w:r>
      <w:r w:rsidR="009B3877">
        <w:rPr>
          <w:rFonts w:ascii="Calibri" w:hAnsi="Calibri"/>
        </w:rPr>
        <w:t xml:space="preserve">start the MF R-Mode standardisation activities at </w:t>
      </w:r>
      <w:r>
        <w:rPr>
          <w:rFonts w:ascii="Calibri" w:hAnsi="Calibri"/>
        </w:rPr>
        <w:t>RTCM and ITU-R</w:t>
      </w:r>
      <w:r w:rsidR="009B3877">
        <w:rPr>
          <w:rFonts w:ascii="Calibri" w:hAnsi="Calibri"/>
        </w:rPr>
        <w:t xml:space="preserve">. Here updates of the RTCM 10403.2 </w:t>
      </w:r>
      <w:sdt>
        <w:sdtPr>
          <w:rPr>
            <w:rFonts w:ascii="Calibri" w:hAnsi="Calibri"/>
          </w:rPr>
          <w:id w:val="951597555"/>
          <w:citation/>
        </w:sdtPr>
        <w:sdtEndPr/>
        <w:sdtContent>
          <w:r w:rsidR="009B3877">
            <w:rPr>
              <w:rFonts w:ascii="Calibri" w:hAnsi="Calibri"/>
            </w:rPr>
            <w:fldChar w:fldCharType="begin"/>
          </w:r>
          <w:r w:rsidR="009B3877">
            <w:rPr>
              <w:rFonts w:ascii="Calibri" w:hAnsi="Calibri"/>
              <w:lang w:val="en-US"/>
            </w:rPr>
            <w:instrText xml:space="preserve">CITATION RTC13 \l 1031 </w:instrText>
          </w:r>
          <w:r w:rsidR="009B3877">
            <w:rPr>
              <w:rFonts w:ascii="Calibri" w:hAnsi="Calibri"/>
            </w:rPr>
            <w:fldChar w:fldCharType="separate"/>
          </w:r>
          <w:r w:rsidR="00FA632A" w:rsidRPr="00FA632A">
            <w:rPr>
              <w:rFonts w:ascii="Calibri" w:hAnsi="Calibri"/>
              <w:noProof/>
              <w:lang w:val="en-US"/>
            </w:rPr>
            <w:t>[2]</w:t>
          </w:r>
          <w:r w:rsidR="009B3877">
            <w:rPr>
              <w:rFonts w:ascii="Calibri" w:hAnsi="Calibri"/>
            </w:rPr>
            <w:fldChar w:fldCharType="end"/>
          </w:r>
        </w:sdtContent>
      </w:sdt>
      <w:r w:rsidR="009B3877">
        <w:rPr>
          <w:rFonts w:ascii="Calibri" w:hAnsi="Calibri"/>
        </w:rPr>
        <w:t xml:space="preserve"> and the </w:t>
      </w:r>
      <w:r w:rsidR="00FA632A">
        <w:rPr>
          <w:rFonts w:ascii="Calibri" w:hAnsi="Calibri"/>
        </w:rPr>
        <w:t xml:space="preserve">ITU-R Recommendation M823-3 </w:t>
      </w:r>
      <w:sdt>
        <w:sdtPr>
          <w:rPr>
            <w:rFonts w:ascii="Calibri" w:hAnsi="Calibri"/>
          </w:rPr>
          <w:id w:val="1272898966"/>
          <w:citation/>
        </w:sdtPr>
        <w:sdtEndPr/>
        <w:sdtContent>
          <w:r w:rsidR="00FA632A">
            <w:rPr>
              <w:rFonts w:ascii="Calibri" w:hAnsi="Calibri"/>
            </w:rPr>
            <w:fldChar w:fldCharType="begin"/>
          </w:r>
          <w:r w:rsidR="00FA632A" w:rsidRPr="00FA632A">
            <w:rPr>
              <w:rFonts w:ascii="Calibri" w:hAnsi="Calibri"/>
              <w:lang w:val="en-US"/>
            </w:rPr>
            <w:instrText xml:space="preserve"> CITATION ITU06 \l 1031 </w:instrText>
          </w:r>
          <w:r w:rsidR="00FA632A">
            <w:rPr>
              <w:rFonts w:ascii="Calibri" w:hAnsi="Calibri"/>
            </w:rPr>
            <w:fldChar w:fldCharType="separate"/>
          </w:r>
          <w:r w:rsidR="00FA632A" w:rsidRPr="00FA632A">
            <w:rPr>
              <w:rFonts w:ascii="Calibri" w:hAnsi="Calibri"/>
              <w:noProof/>
              <w:lang w:val="en-US"/>
            </w:rPr>
            <w:t>[3]</w:t>
          </w:r>
          <w:r w:rsidR="00FA632A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</w:t>
      </w:r>
      <w:r w:rsidR="00DA2930">
        <w:rPr>
          <w:rFonts w:ascii="Calibri" w:hAnsi="Calibri"/>
        </w:rPr>
        <w:t xml:space="preserve">are necessary </w:t>
      </w:r>
      <w:r w:rsidR="00FA632A">
        <w:rPr>
          <w:rFonts w:ascii="Calibri" w:hAnsi="Calibri"/>
        </w:rPr>
        <w:t xml:space="preserve">to </w:t>
      </w:r>
      <w:r w:rsidR="00DA2930">
        <w:rPr>
          <w:rFonts w:ascii="Calibri" w:hAnsi="Calibri"/>
        </w:rPr>
        <w:t>cover</w:t>
      </w:r>
      <w:r w:rsidR="00FA632A">
        <w:rPr>
          <w:rFonts w:ascii="Calibri" w:hAnsi="Calibri"/>
        </w:rPr>
        <w:t xml:space="preserve"> the modification </w:t>
      </w:r>
      <w:r w:rsidR="00DA2930">
        <w:rPr>
          <w:rFonts w:ascii="Calibri" w:hAnsi="Calibri"/>
        </w:rPr>
        <w:t>of the</w:t>
      </w:r>
      <w:r w:rsidR="00FA632A">
        <w:rPr>
          <w:rFonts w:ascii="Calibri" w:hAnsi="Calibri"/>
        </w:rPr>
        <w:t xml:space="preserve"> maritime radio-beacon </w:t>
      </w:r>
      <w:r w:rsidR="00DA2930">
        <w:rPr>
          <w:rFonts w:ascii="Calibri" w:hAnsi="Calibri"/>
        </w:rPr>
        <w:t>transmissions to support the</w:t>
      </w:r>
      <w:r w:rsidR="00FA632A">
        <w:rPr>
          <w:rFonts w:ascii="Calibri" w:hAnsi="Calibri"/>
        </w:rPr>
        <w:t xml:space="preserve"> R-Mode</w:t>
      </w:r>
      <w:r w:rsidR="00DA2930">
        <w:rPr>
          <w:rFonts w:ascii="Calibri" w:hAnsi="Calibri"/>
        </w:rPr>
        <w:t xml:space="preserve"> service</w:t>
      </w:r>
      <w:r>
        <w:rPr>
          <w:rFonts w:ascii="Calibri" w:hAnsi="Calibri"/>
        </w:rPr>
        <w:t>.</w:t>
      </w:r>
    </w:p>
    <w:p w14:paraId="2A7C7466" w14:textId="77C3F4D7" w:rsidR="00F674DE" w:rsidRPr="001C77BB" w:rsidRDefault="00F674DE" w:rsidP="00F674D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After intersessional work between ENG16 and ENG17 and additional work during ENG17 a good draft of the new Guideline was generated with view gaps and the need for review. It was decided </w:t>
      </w:r>
      <w:r w:rsidR="0027544F">
        <w:rPr>
          <w:rFonts w:ascii="Calibri" w:hAnsi="Calibri"/>
        </w:rPr>
        <w:t xml:space="preserve">in ENG17 </w:t>
      </w:r>
      <w:r>
        <w:rPr>
          <w:rFonts w:ascii="Calibri" w:hAnsi="Calibri"/>
        </w:rPr>
        <w:t>to have additional intersessional work between ENG17 and ENG18 to finish the Guideline draft before ENG18.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3BB8F81A" w14:textId="0828D3E4" w:rsidR="0080275B" w:rsidRDefault="00F674DE" w:rsidP="009A786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the time between </w:t>
      </w:r>
      <w:r w:rsidR="009A786E">
        <w:rPr>
          <w:rFonts w:ascii="Calibri" w:hAnsi="Calibri"/>
        </w:rPr>
        <w:t>ENG</w:t>
      </w:r>
      <w:r>
        <w:rPr>
          <w:rFonts w:ascii="Calibri" w:hAnsi="Calibri"/>
        </w:rPr>
        <w:t>17</w:t>
      </w:r>
      <w:r w:rsidR="009A786E">
        <w:rPr>
          <w:rFonts w:ascii="Calibri" w:hAnsi="Calibri"/>
        </w:rPr>
        <w:t xml:space="preserve"> and ENG1</w:t>
      </w:r>
      <w:r>
        <w:rPr>
          <w:rFonts w:ascii="Calibri" w:hAnsi="Calibri"/>
        </w:rPr>
        <w:t>8</w:t>
      </w:r>
      <w:r w:rsidR="009A786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the </w:t>
      </w:r>
      <w:r w:rsidR="0080275B">
        <w:rPr>
          <w:rFonts w:ascii="Calibri" w:hAnsi="Calibri"/>
        </w:rPr>
        <w:t>Task Group 3.2.2 added text to the Guideline that the draft covers all addressed topics</w:t>
      </w:r>
      <w:r w:rsidR="0027544F">
        <w:rPr>
          <w:rFonts w:ascii="Calibri" w:hAnsi="Calibri"/>
        </w:rPr>
        <w:t>. A</w:t>
      </w:r>
      <w:r w:rsidR="0080275B">
        <w:rPr>
          <w:rFonts w:ascii="Calibri" w:hAnsi="Calibri"/>
        </w:rPr>
        <w:t xml:space="preserve"> first review of the </w:t>
      </w:r>
      <w:r w:rsidR="0027544F">
        <w:rPr>
          <w:rFonts w:ascii="Calibri" w:hAnsi="Calibri"/>
        </w:rPr>
        <w:t xml:space="preserve">Guideline draft </w:t>
      </w:r>
      <w:r w:rsidR="0080275B">
        <w:rPr>
          <w:rFonts w:ascii="Calibri" w:hAnsi="Calibri"/>
        </w:rPr>
        <w:t>took place. The draft was discussed during an intersessional online meeting and based on that discussion further elaborated.</w:t>
      </w:r>
    </w:p>
    <w:p w14:paraId="5D50CE63" w14:textId="5FBB17BC" w:rsidR="005C696F" w:rsidRPr="005C696F" w:rsidRDefault="005C696F" w:rsidP="009A786E">
      <w:pPr>
        <w:pStyle w:val="BodyText"/>
        <w:rPr>
          <w:lang w:val="en-US"/>
        </w:rPr>
      </w:pPr>
    </w:p>
    <w:p w14:paraId="205148B5" w14:textId="44971327" w:rsidR="0080275B" w:rsidRPr="005C696F" w:rsidRDefault="0080275B" w:rsidP="0080275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latest version of draft Guideline </w:t>
      </w:r>
      <w:r w:rsidR="005C696F" w:rsidRPr="00C93D19">
        <w:t>on Medium Frequency R-Mode signal structure and navigation message</w:t>
      </w:r>
      <w:r w:rsidR="005C696F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is annexed to this document. The </w:t>
      </w:r>
      <w:r w:rsidR="005C696F">
        <w:rPr>
          <w:rFonts w:ascii="Calibri" w:hAnsi="Calibri"/>
        </w:rPr>
        <w:t>submitters</w:t>
      </w:r>
      <w:r>
        <w:rPr>
          <w:rFonts w:ascii="Calibri" w:hAnsi="Calibri"/>
        </w:rPr>
        <w:t xml:space="preserve"> feel that the Guideline has reached a mature stage and can be finalized during the ENG 1</w:t>
      </w:r>
      <w:r w:rsidR="005C696F">
        <w:rPr>
          <w:rFonts w:ascii="Calibri" w:hAnsi="Calibri"/>
        </w:rPr>
        <w:t>8</w:t>
      </w:r>
      <w:r>
        <w:rPr>
          <w:rFonts w:ascii="Calibri" w:hAnsi="Calibri"/>
        </w:rPr>
        <w:t xml:space="preserve"> meeting. The remaining work includes:</w:t>
      </w:r>
    </w:p>
    <w:p w14:paraId="695EFAA1" w14:textId="77777777" w:rsidR="0080275B" w:rsidRDefault="0080275B" w:rsidP="0080275B">
      <w:pPr>
        <w:pStyle w:val="BodyText"/>
        <w:numPr>
          <w:ilvl w:val="0"/>
          <w:numId w:val="76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>Accepting the track changes</w:t>
      </w:r>
    </w:p>
    <w:p w14:paraId="7BC1D923" w14:textId="77777777" w:rsidR="0080275B" w:rsidRDefault="0080275B" w:rsidP="0080275B">
      <w:pPr>
        <w:pStyle w:val="BodyText"/>
        <w:numPr>
          <w:ilvl w:val="0"/>
          <w:numId w:val="76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>Discussing and solving the remaining comments</w:t>
      </w:r>
    </w:p>
    <w:p w14:paraId="3F37715C" w14:textId="5DC9F97E" w:rsidR="0080275B" w:rsidRDefault="0080275B" w:rsidP="002A3744">
      <w:pPr>
        <w:pStyle w:val="BodyText"/>
        <w:numPr>
          <w:ilvl w:val="0"/>
          <w:numId w:val="76"/>
        </w:numPr>
        <w:spacing w:line="240" w:lineRule="auto"/>
      </w:pPr>
      <w:r w:rsidRPr="005C696F">
        <w:rPr>
          <w:rFonts w:ascii="Calibri" w:hAnsi="Calibri"/>
        </w:rPr>
        <w:t>Reviewing the final homework</w:t>
      </w:r>
    </w:p>
    <w:p w14:paraId="233A989B" w14:textId="77777777" w:rsidR="0027544F" w:rsidRDefault="0027544F" w:rsidP="00A446C9">
      <w:pPr>
        <w:pStyle w:val="BodyText"/>
        <w:rPr>
          <w:rFonts w:ascii="Calibri" w:hAnsi="Calibri"/>
        </w:rPr>
      </w:pPr>
    </w:p>
    <w:p w14:paraId="7250B3A2" w14:textId="2D527542" w:rsidR="00F25BF4" w:rsidRDefault="00CA5FFE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Task Group </w:t>
      </w:r>
      <w:r w:rsidR="0027544F">
        <w:rPr>
          <w:rFonts w:ascii="Calibri" w:hAnsi="Calibri"/>
        </w:rPr>
        <w:t>3.2.2 leader thanks the task group members for their voluntary work. The members are: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6095"/>
      </w:tblGrid>
      <w:tr w:rsidR="0027544F" w14:paraId="73F01A19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hideMark/>
          </w:tcPr>
          <w:p w14:paraId="0937966D" w14:textId="77777777" w:rsidR="0027544F" w:rsidRDefault="0027544F" w:rsidP="00721F35">
            <w:pPr>
              <w:pStyle w:val="BodyText"/>
              <w:jc w:val="center"/>
              <w:rPr>
                <w:rFonts w:eastAsia="Calibri" w:cstheme="minorHAnsi"/>
                <w:sz w:val="20"/>
                <w:szCs w:val="20"/>
                <w:lang w:eastAsia="en-GB"/>
              </w:rPr>
            </w:pPr>
            <w:r>
              <w:rPr>
                <w:rFonts w:cstheme="minorHAnsi"/>
                <w:sz w:val="20"/>
                <w:szCs w:val="20"/>
              </w:rPr>
              <w:t>Name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hideMark/>
          </w:tcPr>
          <w:p w14:paraId="34928474" w14:textId="77777777" w:rsidR="0027544F" w:rsidRDefault="0027544F" w:rsidP="00721F35">
            <w:pPr>
              <w:pStyle w:val="BodyText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Organisation</w:t>
            </w:r>
          </w:p>
        </w:tc>
      </w:tr>
      <w:tr w:rsidR="0027544F" w14:paraId="4C358809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6279E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Michael Hoppe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AC007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  <w:r w:rsidRPr="003E0DC0">
              <w:rPr>
                <w:rFonts w:cstheme="minorHAnsi"/>
                <w:sz w:val="20"/>
                <w:szCs w:val="20"/>
                <w:lang w:val="en-GB"/>
              </w:rPr>
              <w:t>Federal Waterways and Shipping Administration-Germany</w:t>
            </w:r>
          </w:p>
        </w:tc>
      </w:tr>
      <w:tr w:rsidR="0027544F" w14:paraId="40412965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0A3A7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Michael </w:t>
            </w:r>
            <w:proofErr w:type="spellStart"/>
            <w:r>
              <w:rPr>
                <w:rFonts w:cstheme="minorHAnsi"/>
                <w:sz w:val="20"/>
                <w:szCs w:val="20"/>
              </w:rPr>
              <w:t>Schütteler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0419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  <w:r w:rsidRPr="003E0DC0">
              <w:rPr>
                <w:rFonts w:cstheme="minorHAnsi"/>
                <w:sz w:val="20"/>
                <w:szCs w:val="20"/>
                <w:lang w:val="en-GB"/>
              </w:rPr>
              <w:t>Federal Waterways and Shipping Administration-Germany</w:t>
            </w:r>
          </w:p>
        </w:tc>
      </w:tr>
      <w:tr w:rsidR="0027544F" w14:paraId="0555E944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DA44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Kaisu Heikonen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1C9F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proofErr w:type="spellStart"/>
            <w:r w:rsidRPr="00CA5FFE">
              <w:rPr>
                <w:rFonts w:cstheme="minorHAnsi"/>
                <w:sz w:val="20"/>
                <w:szCs w:val="20"/>
              </w:rPr>
              <w:t>Finnish</w:t>
            </w:r>
            <w:proofErr w:type="spellEnd"/>
            <w:r w:rsidRPr="00CA5FFE">
              <w:rPr>
                <w:rFonts w:cstheme="minorHAnsi"/>
                <w:sz w:val="20"/>
                <w:szCs w:val="20"/>
              </w:rPr>
              <w:t xml:space="preserve"> Transport Infrastructure Agency</w:t>
            </w:r>
          </w:p>
        </w:tc>
      </w:tr>
      <w:tr w:rsidR="0027544F" w14:paraId="461645FC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7F96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Johnny Menard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8BF0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proofErr w:type="spellStart"/>
            <w:r w:rsidRPr="00CA5FFE">
              <w:rPr>
                <w:rFonts w:cstheme="minorHAnsi"/>
                <w:sz w:val="20"/>
                <w:szCs w:val="20"/>
              </w:rPr>
              <w:t>Swedish</w:t>
            </w:r>
            <w:proofErr w:type="spellEnd"/>
            <w:r w:rsidRPr="00CA5FFE">
              <w:rPr>
                <w:rFonts w:cstheme="minorHAnsi"/>
                <w:sz w:val="20"/>
                <w:szCs w:val="20"/>
              </w:rPr>
              <w:t xml:space="preserve"> Maritime Administration</w:t>
            </w:r>
          </w:p>
        </w:tc>
      </w:tr>
      <w:tr w:rsidR="0027544F" w14:paraId="32F54891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BF8B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Caroline Huot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2005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Canadian </w:t>
            </w:r>
            <w:proofErr w:type="spellStart"/>
            <w:r>
              <w:rPr>
                <w:rFonts w:cstheme="minorHAnsi"/>
                <w:sz w:val="20"/>
                <w:szCs w:val="20"/>
              </w:rPr>
              <w:t>Coast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Guard</w:t>
            </w:r>
          </w:p>
        </w:tc>
      </w:tr>
      <w:tr w:rsidR="0027544F" w14:paraId="3C59C804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BA1F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proofErr w:type="spellStart"/>
            <w:r w:rsidRPr="00CA5FFE">
              <w:rPr>
                <w:rFonts w:cstheme="minorHAnsi"/>
                <w:sz w:val="20"/>
                <w:szCs w:val="20"/>
              </w:rPr>
              <w:t>Xiaoye</w:t>
            </w:r>
            <w:proofErr w:type="spellEnd"/>
            <w:r w:rsidRPr="00CA5FFE">
              <w:rPr>
                <w:rFonts w:cstheme="minorHAnsi"/>
                <w:sz w:val="20"/>
                <w:szCs w:val="20"/>
              </w:rPr>
              <w:t xml:space="preserve"> Wang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9E9C3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 w:rsidRPr="00CA5FFE">
              <w:rPr>
                <w:rFonts w:cstheme="minorHAnsi"/>
                <w:sz w:val="20"/>
                <w:szCs w:val="20"/>
              </w:rPr>
              <w:t>China MSA</w:t>
            </w:r>
          </w:p>
        </w:tc>
      </w:tr>
      <w:tr w:rsidR="0027544F" w14:paraId="4CA7C2C5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03B0" w14:textId="77777777" w:rsidR="0027544F" w:rsidRPr="00CA5FFE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proofErr w:type="spellStart"/>
            <w:r w:rsidRPr="00CA5FFE">
              <w:rPr>
                <w:rFonts w:cstheme="minorHAnsi"/>
                <w:sz w:val="20"/>
                <w:szCs w:val="20"/>
              </w:rPr>
              <w:t>Younghoon</w:t>
            </w:r>
            <w:proofErr w:type="spellEnd"/>
            <w:r w:rsidRPr="00CA5FFE">
              <w:rPr>
                <w:rFonts w:cstheme="minorHAnsi"/>
                <w:sz w:val="20"/>
                <w:szCs w:val="20"/>
              </w:rPr>
              <w:t xml:space="preserve"> H</w:t>
            </w:r>
            <w:r>
              <w:rPr>
                <w:rFonts w:cstheme="minorHAnsi"/>
                <w:sz w:val="20"/>
                <w:szCs w:val="20"/>
              </w:rPr>
              <w:t>an</w:t>
            </w:r>
          </w:p>
          <w:p w14:paraId="4DA966A8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0E33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  <w:r w:rsidRPr="003E0DC0">
              <w:rPr>
                <w:rFonts w:cstheme="minorHAnsi"/>
                <w:sz w:val="20"/>
                <w:szCs w:val="20"/>
                <w:lang w:val="en-GB"/>
              </w:rPr>
              <w:t>Korea Research Institute of Ships and Ocean Engineering</w:t>
            </w:r>
          </w:p>
          <w:p w14:paraId="4031AC32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7544F" w14:paraId="5FC34BA5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D9C7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 w:rsidRPr="00CA5FFE">
              <w:rPr>
                <w:rFonts w:cstheme="minorHAnsi"/>
                <w:sz w:val="20"/>
                <w:szCs w:val="20"/>
              </w:rPr>
              <w:t>Pyo-Woong Son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9BCF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  <w:r w:rsidRPr="003E0DC0">
              <w:rPr>
                <w:rFonts w:cstheme="minorHAnsi"/>
                <w:sz w:val="20"/>
                <w:szCs w:val="20"/>
                <w:lang w:val="en-GB"/>
              </w:rPr>
              <w:t>Korea Research Institute of Ships and Ocean Engineering</w:t>
            </w:r>
          </w:p>
          <w:p w14:paraId="455818FC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27544F" w14:paraId="278B842D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9D973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Jaime Alvarez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7E8D1" w14:textId="77777777" w:rsidR="0027544F" w:rsidRDefault="003E0DC0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hyperlink r:id="rId11" w:history="1">
              <w:r w:rsidR="0027544F" w:rsidRPr="00CA5FFE">
                <w:rPr>
                  <w:rFonts w:cstheme="minorHAnsi"/>
                  <w:sz w:val="20"/>
                  <w:szCs w:val="20"/>
                </w:rPr>
                <w:t>IALA</w:t>
              </w:r>
            </w:hyperlink>
          </w:p>
        </w:tc>
      </w:tr>
      <w:tr w:rsidR="0027544F" w14:paraId="7B2C3AD5" w14:textId="77777777" w:rsidTr="00721F35">
        <w:trPr>
          <w:trHeight w:hRule="exact" w:val="255"/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A7B8E" w14:textId="77777777" w:rsidR="0027544F" w:rsidRDefault="0027544F" w:rsidP="00721F35">
            <w:pPr>
              <w:pStyle w:val="BodyTex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Stefan Gewies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2BBD1" w14:textId="77777777" w:rsidR="0027544F" w:rsidRPr="003E0DC0" w:rsidRDefault="0027544F" w:rsidP="00721F35">
            <w:pPr>
              <w:pStyle w:val="BodyText"/>
              <w:rPr>
                <w:rFonts w:cstheme="minorHAnsi"/>
                <w:sz w:val="20"/>
                <w:szCs w:val="20"/>
                <w:lang w:val="en-GB"/>
              </w:rPr>
            </w:pPr>
            <w:r w:rsidRPr="003E0DC0">
              <w:rPr>
                <w:rFonts w:cstheme="minorHAnsi"/>
                <w:sz w:val="20"/>
                <w:szCs w:val="20"/>
                <w:lang w:val="en-GB"/>
              </w:rPr>
              <w:t>German Aerospace Centre - Institute of Communications and Navigation</w:t>
            </w:r>
          </w:p>
        </w:tc>
      </w:tr>
    </w:tbl>
    <w:p w14:paraId="34D0A6C5" w14:textId="77777777" w:rsidR="00CA5FFE" w:rsidRPr="007A395D" w:rsidRDefault="00CA5FFE" w:rsidP="00A446C9">
      <w:pPr>
        <w:pStyle w:val="BodyText"/>
        <w:rPr>
          <w:rFonts w:ascii="Calibri" w:hAnsi="Calibri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18"/>
          <w:szCs w:val="22"/>
          <w:lang w:val="de-DE"/>
        </w:rPr>
        <w:id w:val="-1243487865"/>
        <w:docPartObj>
          <w:docPartGallery w:val="Bibliographies"/>
          <w:docPartUnique/>
        </w:docPartObj>
      </w:sdtPr>
      <w:sdtEndPr>
        <w:rPr>
          <w:lang w:val="en-GB"/>
        </w:rPr>
      </w:sdtEndPr>
      <w:sdtContent>
        <w:p w14:paraId="2BEB327A" w14:textId="0FE1A4E9" w:rsidR="00CE6A2E" w:rsidRDefault="00CE6A2E">
          <w:pPr>
            <w:pStyle w:val="Heading1"/>
          </w:pPr>
          <w:r>
            <w:rPr>
              <w:lang w:val="de-DE"/>
            </w:rPr>
            <w:t>References</w:t>
          </w:r>
        </w:p>
        <w:sdt>
          <w:sdtPr>
            <w:id w:val="111145805"/>
            <w:bibliography/>
          </w:sdtPr>
          <w:sdtEndPr/>
          <w:sdtContent>
            <w:p w14:paraId="3B346618" w14:textId="77777777" w:rsidR="00FA632A" w:rsidRDefault="00CE6A2E">
              <w:pPr>
                <w:rPr>
                  <w:rFonts w:ascii="Calibri" w:eastAsia="Calibri" w:hAnsi="Calibri" w:cs="Times New Roman"/>
                  <w:noProof/>
                  <w:sz w:val="20"/>
                  <w:szCs w:val="20"/>
                  <w:lang w:eastAsia="en-GB"/>
                </w:rPr>
              </w:pPr>
              <w:r>
                <w:fldChar w:fldCharType="begin"/>
              </w:r>
              <w:r w:rsidRPr="00CE6A2E">
                <w:rPr>
                  <w:lang w:val="de-DE"/>
                </w:rPr>
                <w:instrText>BIBLIOGRAPHY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2"/>
                <w:gridCol w:w="9316"/>
              </w:tblGrid>
              <w:tr w:rsidR="00FA632A" w:rsidRPr="00152238" w14:paraId="1B3D1BDF" w14:textId="77777777">
                <w:trPr>
                  <w:divId w:val="104860792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37A5A7BA" w14:textId="36F0492F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  <w:szCs w:val="24"/>
                      </w:rPr>
                    </w:pPr>
                    <w:r w:rsidRPr="00152238">
                      <w:rPr>
                        <w:noProof/>
                        <w:sz w:val="22"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92067DB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>IALA, “IALA Guideline G1158 VDES R-Mode,” Edition 1.0, December 2020.</w:t>
                    </w:r>
                  </w:p>
                </w:tc>
              </w:tr>
              <w:tr w:rsidR="00FA632A" w:rsidRPr="00152238" w14:paraId="46B33A65" w14:textId="77777777">
                <w:trPr>
                  <w:divId w:val="104860792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262EF4A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882A2FA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>RTCM, “RTCM Standard 10403.2 Differential GNSS services - version 3,” July 2013.</w:t>
                    </w:r>
                  </w:p>
                </w:tc>
              </w:tr>
              <w:tr w:rsidR="00FA632A" w:rsidRPr="00152238" w14:paraId="692C4D5F" w14:textId="77777777">
                <w:trPr>
                  <w:divId w:val="104860792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4D40BFB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5DC8D7A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>ITU-R, “Recommendation ITU-R M.823-3 - Technical characteristics of differential transmissions for global navigation,” 2006.</w:t>
                    </w:r>
                  </w:p>
                </w:tc>
              </w:tr>
            </w:tbl>
            <w:p w14:paraId="63A11D5C" w14:textId="77777777" w:rsidR="00FA632A" w:rsidRDefault="00FA632A">
              <w:pPr>
                <w:divId w:val="1048607927"/>
                <w:rPr>
                  <w:rFonts w:eastAsia="Times New Roman"/>
                  <w:noProof/>
                </w:rPr>
              </w:pPr>
            </w:p>
            <w:p w14:paraId="78FC2B7D" w14:textId="2BA2C753" w:rsidR="00CE6A2E" w:rsidRPr="00CE6A2E" w:rsidRDefault="00CE6A2E">
              <w:pPr>
                <w:rPr>
                  <w:lang w:val="de-DE"/>
                </w:rPr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4A498FE1" w14:textId="77777777" w:rsidR="00CE6A2E" w:rsidRPr="00CE6A2E" w:rsidRDefault="00CE6A2E" w:rsidP="00CE6A2E">
      <w:pPr>
        <w:pStyle w:val="BodyText"/>
        <w:rPr>
          <w:lang w:val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355529D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06C36E3" w14:textId="74F404B8" w:rsidR="005C696F" w:rsidRDefault="005C696F" w:rsidP="0033592D">
      <w:pPr>
        <w:pStyle w:val="List1"/>
        <w:numPr>
          <w:ilvl w:val="0"/>
          <w:numId w:val="73"/>
        </w:numPr>
      </w:pPr>
      <w:r w:rsidRPr="005C696F">
        <w:rPr>
          <w:rFonts w:ascii="Calibri" w:hAnsi="Calibri"/>
        </w:rPr>
        <w:t>Note the outcome of Task Group 3.</w:t>
      </w:r>
      <w:r>
        <w:rPr>
          <w:rFonts w:ascii="Calibri" w:hAnsi="Calibri"/>
        </w:rPr>
        <w:t>2</w:t>
      </w:r>
      <w:r w:rsidRPr="005C696F">
        <w:rPr>
          <w:rFonts w:ascii="Calibri" w:hAnsi="Calibri"/>
        </w:rPr>
        <w:t>.</w:t>
      </w:r>
      <w:r>
        <w:rPr>
          <w:rFonts w:ascii="Calibri" w:hAnsi="Calibri"/>
        </w:rPr>
        <w:t>2</w:t>
      </w:r>
      <w:r w:rsidRPr="005C696F">
        <w:rPr>
          <w:rFonts w:ascii="Calibri" w:hAnsi="Calibri"/>
        </w:rPr>
        <w:t xml:space="preserve"> intersessional work</w:t>
      </w:r>
      <w:r w:rsidR="0027544F">
        <w:rPr>
          <w:rFonts w:ascii="Calibri" w:hAnsi="Calibri"/>
        </w:rPr>
        <w:t>.</w:t>
      </w:r>
    </w:p>
    <w:p w14:paraId="16AE6650" w14:textId="49606C44" w:rsidR="004D1D85" w:rsidRPr="007A395D" w:rsidRDefault="005C696F" w:rsidP="001607BE">
      <w:pPr>
        <w:pStyle w:val="List1"/>
        <w:numPr>
          <w:ilvl w:val="0"/>
          <w:numId w:val="73"/>
        </w:numPr>
      </w:pPr>
      <w:r>
        <w:rPr>
          <w:rFonts w:ascii="Calibri" w:hAnsi="Calibri"/>
        </w:rPr>
        <w:t>Participate in finali</w:t>
      </w:r>
      <w:r w:rsidR="00E84EE5">
        <w:rPr>
          <w:rFonts w:ascii="Calibri" w:hAnsi="Calibri"/>
        </w:rPr>
        <w:t>s</w:t>
      </w:r>
      <w:r>
        <w:rPr>
          <w:rFonts w:ascii="Calibri" w:hAnsi="Calibri"/>
        </w:rPr>
        <w:t xml:space="preserve">ing the draft Guideline </w:t>
      </w:r>
      <w:r w:rsidR="003E0DC0" w:rsidRPr="003E0DC0">
        <w:rPr>
          <w:rFonts w:ascii="Calibri" w:hAnsi="Calibri"/>
        </w:rPr>
        <w:t>ENG18-3.2.2.</w:t>
      </w:r>
      <w:r w:rsidR="003E0DC0">
        <w:rPr>
          <w:rFonts w:ascii="Calibri" w:hAnsi="Calibri"/>
        </w:rPr>
        <w:t xml:space="preserve">8.1 </w:t>
      </w:r>
      <w:r>
        <w:rPr>
          <w:rFonts w:ascii="Calibri" w:hAnsi="Calibri"/>
        </w:rPr>
        <w:t xml:space="preserve">on </w:t>
      </w:r>
      <w:r w:rsidR="00BB2282" w:rsidRPr="00C93D19">
        <w:t>Medium Frequency R-Mode signal structure and navigation message</w:t>
      </w:r>
      <w:r>
        <w:t xml:space="preserve"> during ENG18</w:t>
      </w:r>
      <w:r w:rsidR="00BB2282">
        <w:t>.</w:t>
      </w:r>
    </w:p>
    <w:sectPr w:rsidR="004D1D85" w:rsidRPr="007A395D" w:rsidSect="0082480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DD07" w14:textId="77777777" w:rsidR="00DA1DAF" w:rsidRDefault="00DA1DAF" w:rsidP="00362CD9">
      <w:r>
        <w:separator/>
      </w:r>
    </w:p>
  </w:endnote>
  <w:endnote w:type="continuationSeparator" w:id="0">
    <w:p w14:paraId="2EC5AC42" w14:textId="77777777" w:rsidR="00DA1DAF" w:rsidRDefault="00DA1DA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9A786E" w:rsidRDefault="009A786E" w:rsidP="004533B7">
    <w:pPr>
      <w:pStyle w:val="Footerportrait"/>
    </w:pPr>
  </w:p>
  <w:p w14:paraId="50E06A6A" w14:textId="26C6BC27" w:rsidR="009A786E" w:rsidRPr="00C907DF" w:rsidRDefault="009A786E" w:rsidP="004533B7">
    <w:pPr>
      <w:pStyle w:val="Footerportrait"/>
    </w:pPr>
    <w:fldSimple w:instr=" STYLEREF  Title  \* MERGEFORMAT ">
      <w:r w:rsidR="003E0DC0" w:rsidRPr="003E0DC0">
        <w:rPr>
          <w:b w:val="0"/>
          <w:bCs/>
          <w:lang w:val="de-DE"/>
        </w:rPr>
        <w:t>Intersessional work on draft of IALA Guideline on Medium Frequency R-Mode signal structure and navigation message</w:t>
      </w:r>
    </w:fldSimple>
    <w:r w:rsidRPr="00C907DF">
      <w:tab/>
    </w: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08F0EF88" w14:textId="696D6978" w:rsidR="009A786E" w:rsidRPr="00036B9E" w:rsidRDefault="009A786E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9A786E" w:rsidRDefault="009A786E" w:rsidP="00637047">
    <w:pPr>
      <w:pStyle w:val="Footerportrait"/>
    </w:pPr>
    <w:r>
      <w:tab/>
    </w:r>
  </w:p>
  <w:p w14:paraId="3A693EAD" w14:textId="737C1E07" w:rsidR="009A786E" w:rsidRPr="00C907DF" w:rsidRDefault="009A786E" w:rsidP="00637047">
    <w:pPr>
      <w:pStyle w:val="Footerportrait"/>
    </w:pPr>
    <w:r>
      <w:fldChar w:fldCharType="begin"/>
    </w:r>
    <w:r w:rsidRPr="00C00378">
      <w:rPr>
        <w:lang w:val="de-DE"/>
      </w:rPr>
      <w:instrText xml:space="preserve"> STYLEREF  Title  \* MERGEFORMAT </w:instrText>
    </w:r>
    <w:r>
      <w:fldChar w:fldCharType="separate"/>
    </w:r>
    <w:r>
      <w:rPr>
        <w:b w:val="0"/>
        <w:bCs/>
        <w:lang w:val="de-DE"/>
      </w:rPr>
      <w:t>Fehler! Verwenden Sie die Registerkarte 'Start', um Title dem Text zuzuweisen, der hier angezeigt werden soll.</w:t>
    </w:r>
    <w:r>
      <w:fldChar w:fldCharType="end"/>
    </w:r>
    <w:r w:rsidRPr="00C00378">
      <w:rPr>
        <w:lang w:val="de-DE"/>
      </w:rPr>
      <w:tab/>
    </w: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5</w:t>
    </w:r>
    <w:r w:rsidRPr="00C907DF">
      <w:rPr>
        <w:rStyle w:val="PageNumber"/>
        <w:szCs w:val="15"/>
      </w:rPr>
      <w:fldChar w:fldCharType="end"/>
    </w:r>
  </w:p>
  <w:p w14:paraId="72964471" w14:textId="77777777" w:rsidR="009A786E" w:rsidRPr="00ED2A8D" w:rsidRDefault="009A786E" w:rsidP="00637047">
    <w:pPr>
      <w:pStyle w:val="Footer"/>
    </w:pPr>
  </w:p>
  <w:p w14:paraId="72687741" w14:textId="09CC9BD7" w:rsidR="009A786E" w:rsidRDefault="009A786E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147A" w14:textId="77777777" w:rsidR="00DA1DAF" w:rsidRDefault="00DA1DAF" w:rsidP="00362CD9">
      <w:r>
        <w:separator/>
      </w:r>
    </w:p>
  </w:footnote>
  <w:footnote w:type="continuationSeparator" w:id="0">
    <w:p w14:paraId="36E43CBD" w14:textId="77777777" w:rsidR="00DA1DAF" w:rsidRDefault="00DA1DAF" w:rsidP="00362CD9">
      <w:r>
        <w:continuationSeparator/>
      </w:r>
    </w:p>
  </w:footnote>
  <w:footnote w:id="1">
    <w:p w14:paraId="741FE09C" w14:textId="56CC54BF" w:rsidR="009A786E" w:rsidRPr="00C02DDD" w:rsidRDefault="009A786E">
      <w:pPr>
        <w:pStyle w:val="FootnoteText"/>
      </w:pPr>
      <w:r w:rsidRPr="00C02DDD">
        <w:footnoteRef/>
      </w:r>
      <w:r>
        <w:t xml:space="preserve"> </w:t>
      </w:r>
      <w:r w:rsidRPr="00C02DDD">
        <w:t>Input document number, to be assigned by the Committee Secretary</w:t>
      </w:r>
    </w:p>
  </w:footnote>
  <w:footnote w:id="2">
    <w:p w14:paraId="13DFA22D" w14:textId="3BCF7A71" w:rsidR="009A786E" w:rsidRPr="00037DF4" w:rsidRDefault="009A786E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9A786E" w:rsidRDefault="009A786E">
      <w:pPr>
        <w:pStyle w:val="FootnoteText"/>
      </w:pPr>
      <w:r>
        <w:rPr>
          <w:rStyle w:val="FootnoteReference"/>
        </w:rPr>
        <w:footnoteRef/>
      </w:r>
      <w:r>
        <w:t xml:space="preserve"> 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9A786E" w:rsidRDefault="009A786E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9A786E" w:rsidRDefault="009A786E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9A786E" w:rsidRDefault="009A786E" w:rsidP="007A395D">
    <w:pPr>
      <w:pStyle w:val="Header"/>
      <w:jc w:val="center"/>
    </w:pPr>
  </w:p>
  <w:p w14:paraId="43F3C4F1" w14:textId="526CEAB2" w:rsidR="009A786E" w:rsidRDefault="009A786E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1F504F"/>
    <w:multiLevelType w:val="hybridMultilevel"/>
    <w:tmpl w:val="4A82C9D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237999"/>
    <w:multiLevelType w:val="hybridMultilevel"/>
    <w:tmpl w:val="44B899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963686"/>
    <w:multiLevelType w:val="hybridMultilevel"/>
    <w:tmpl w:val="D9A8B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674082">
    <w:abstractNumId w:val="7"/>
  </w:num>
  <w:num w:numId="2" w16cid:durableId="1015381953">
    <w:abstractNumId w:val="2"/>
  </w:num>
  <w:num w:numId="3" w16cid:durableId="439684941">
    <w:abstractNumId w:val="18"/>
  </w:num>
  <w:num w:numId="4" w16cid:durableId="2013794671">
    <w:abstractNumId w:val="42"/>
  </w:num>
  <w:num w:numId="5" w16cid:durableId="1358198864">
    <w:abstractNumId w:val="31"/>
  </w:num>
  <w:num w:numId="6" w16cid:durableId="549192268">
    <w:abstractNumId w:val="11"/>
  </w:num>
  <w:num w:numId="7" w16cid:durableId="281765008">
    <w:abstractNumId w:val="46"/>
  </w:num>
  <w:num w:numId="8" w16cid:durableId="992679036">
    <w:abstractNumId w:val="26"/>
  </w:num>
  <w:num w:numId="9" w16cid:durableId="662464585">
    <w:abstractNumId w:val="20"/>
  </w:num>
  <w:num w:numId="10" w16cid:durableId="430901557">
    <w:abstractNumId w:val="35"/>
  </w:num>
  <w:num w:numId="11" w16cid:durableId="1915160615">
    <w:abstractNumId w:val="34"/>
  </w:num>
  <w:num w:numId="12" w16cid:durableId="165444901">
    <w:abstractNumId w:val="30"/>
  </w:num>
  <w:num w:numId="13" w16cid:durableId="397632731">
    <w:abstractNumId w:val="43"/>
  </w:num>
  <w:num w:numId="14" w16cid:durableId="1498960270">
    <w:abstractNumId w:val="16"/>
  </w:num>
  <w:num w:numId="15" w16cid:durableId="209411">
    <w:abstractNumId w:val="50"/>
  </w:num>
  <w:num w:numId="16" w16cid:durableId="1371802603">
    <w:abstractNumId w:val="29"/>
  </w:num>
  <w:num w:numId="17" w16cid:durableId="786122130">
    <w:abstractNumId w:val="17"/>
  </w:num>
  <w:num w:numId="18" w16cid:durableId="1574393986">
    <w:abstractNumId w:val="38"/>
  </w:num>
  <w:num w:numId="19" w16cid:durableId="4021117">
    <w:abstractNumId w:val="29"/>
  </w:num>
  <w:num w:numId="20" w16cid:durableId="490100456">
    <w:abstractNumId w:val="29"/>
  </w:num>
  <w:num w:numId="21" w16cid:durableId="1050494610">
    <w:abstractNumId w:val="29"/>
  </w:num>
  <w:num w:numId="22" w16cid:durableId="1058866560">
    <w:abstractNumId w:val="29"/>
  </w:num>
  <w:num w:numId="23" w16cid:durableId="2043897414">
    <w:abstractNumId w:val="39"/>
  </w:num>
  <w:num w:numId="24" w16cid:durableId="189297096">
    <w:abstractNumId w:val="10"/>
  </w:num>
  <w:num w:numId="25" w16cid:durableId="1538005945">
    <w:abstractNumId w:val="10"/>
  </w:num>
  <w:num w:numId="26" w16cid:durableId="336425287">
    <w:abstractNumId w:val="10"/>
  </w:num>
  <w:num w:numId="27" w16cid:durableId="268004982">
    <w:abstractNumId w:val="22"/>
  </w:num>
  <w:num w:numId="28" w16cid:durableId="1479616113">
    <w:abstractNumId w:val="22"/>
  </w:num>
  <w:num w:numId="29" w16cid:durableId="515189992">
    <w:abstractNumId w:val="22"/>
  </w:num>
  <w:num w:numId="30" w16cid:durableId="469445396">
    <w:abstractNumId w:val="22"/>
  </w:num>
  <w:num w:numId="31" w16cid:durableId="2145924085">
    <w:abstractNumId w:val="22"/>
  </w:num>
  <w:num w:numId="32" w16cid:durableId="506097126">
    <w:abstractNumId w:val="22"/>
  </w:num>
  <w:num w:numId="33" w16cid:durableId="1766338354">
    <w:abstractNumId w:val="36"/>
  </w:num>
  <w:num w:numId="34" w16cid:durableId="1668360831">
    <w:abstractNumId w:val="36"/>
  </w:num>
  <w:num w:numId="35" w16cid:durableId="1858233665">
    <w:abstractNumId w:val="36"/>
  </w:num>
  <w:num w:numId="36" w16cid:durableId="762720640">
    <w:abstractNumId w:val="27"/>
  </w:num>
  <w:num w:numId="37" w16cid:durableId="938373043">
    <w:abstractNumId w:val="16"/>
  </w:num>
  <w:num w:numId="38" w16cid:durableId="643121006">
    <w:abstractNumId w:val="30"/>
  </w:num>
  <w:num w:numId="39" w16cid:durableId="1077021948">
    <w:abstractNumId w:val="29"/>
  </w:num>
  <w:num w:numId="40" w16cid:durableId="10883822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9105535">
    <w:abstractNumId w:val="9"/>
  </w:num>
  <w:num w:numId="42" w16cid:durableId="9274189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8383868">
    <w:abstractNumId w:val="9"/>
  </w:num>
  <w:num w:numId="44" w16cid:durableId="2002731274">
    <w:abstractNumId w:val="28"/>
  </w:num>
  <w:num w:numId="45" w16cid:durableId="1555505723">
    <w:abstractNumId w:val="32"/>
  </w:num>
  <w:num w:numId="46" w16cid:durableId="1410233454">
    <w:abstractNumId w:val="51"/>
  </w:num>
  <w:num w:numId="47" w16cid:durableId="1755348904">
    <w:abstractNumId w:val="13"/>
  </w:num>
  <w:num w:numId="48" w16cid:durableId="1178888446">
    <w:abstractNumId w:val="21"/>
  </w:num>
  <w:num w:numId="49" w16cid:durableId="1459879996">
    <w:abstractNumId w:val="14"/>
  </w:num>
  <w:num w:numId="50" w16cid:durableId="1995835139">
    <w:abstractNumId w:val="12"/>
  </w:num>
  <w:num w:numId="51" w16cid:durableId="860583527">
    <w:abstractNumId w:val="19"/>
  </w:num>
  <w:num w:numId="52" w16cid:durableId="1432815637">
    <w:abstractNumId w:val="45"/>
  </w:num>
  <w:num w:numId="53" w16cid:durableId="141315368">
    <w:abstractNumId w:val="48"/>
  </w:num>
  <w:num w:numId="54" w16cid:durableId="407263438">
    <w:abstractNumId w:val="15"/>
  </w:num>
  <w:num w:numId="55" w16cid:durableId="1120537683">
    <w:abstractNumId w:val="49"/>
  </w:num>
  <w:num w:numId="56" w16cid:durableId="155927674">
    <w:abstractNumId w:val="40"/>
  </w:num>
  <w:num w:numId="57" w16cid:durableId="646740236">
    <w:abstractNumId w:val="25"/>
  </w:num>
  <w:num w:numId="58" w16cid:durableId="1305625822">
    <w:abstractNumId w:val="8"/>
  </w:num>
  <w:num w:numId="59" w16cid:durableId="1466312146">
    <w:abstractNumId w:val="6"/>
  </w:num>
  <w:num w:numId="60" w16cid:durableId="489643529">
    <w:abstractNumId w:val="5"/>
  </w:num>
  <w:num w:numId="61" w16cid:durableId="1217200999">
    <w:abstractNumId w:val="4"/>
  </w:num>
  <w:num w:numId="62" w16cid:durableId="1118525807">
    <w:abstractNumId w:val="3"/>
  </w:num>
  <w:num w:numId="63" w16cid:durableId="762188574">
    <w:abstractNumId w:val="1"/>
  </w:num>
  <w:num w:numId="64" w16cid:durableId="828247320">
    <w:abstractNumId w:val="0"/>
  </w:num>
  <w:num w:numId="65" w16cid:durableId="38015231">
    <w:abstractNumId w:val="37"/>
  </w:num>
  <w:num w:numId="66" w16cid:durableId="1430463720">
    <w:abstractNumId w:val="47"/>
  </w:num>
  <w:num w:numId="67" w16cid:durableId="718944974">
    <w:abstractNumId w:val="24"/>
  </w:num>
  <w:num w:numId="68" w16cid:durableId="17307628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50227616">
    <w:abstractNumId w:val="23"/>
  </w:num>
  <w:num w:numId="70" w16cid:durableId="3964376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742800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52052514">
    <w:abstractNumId w:val="33"/>
  </w:num>
  <w:num w:numId="73" w16cid:durableId="14332781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86058092">
    <w:abstractNumId w:val="44"/>
  </w:num>
  <w:num w:numId="75" w16cid:durableId="38163468">
    <w:abstractNumId w:val="52"/>
  </w:num>
  <w:num w:numId="76" w16cid:durableId="829756391">
    <w:abstractNumId w:val="4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91193"/>
    <w:rsid w:val="000A77A7"/>
    <w:rsid w:val="000B1707"/>
    <w:rsid w:val="000C1B3E"/>
    <w:rsid w:val="000C349E"/>
    <w:rsid w:val="00110203"/>
    <w:rsid w:val="00110AE7"/>
    <w:rsid w:val="001241C8"/>
    <w:rsid w:val="00152238"/>
    <w:rsid w:val="001607BE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7544F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E0DC0"/>
    <w:rsid w:val="003F2918"/>
    <w:rsid w:val="003F430E"/>
    <w:rsid w:val="0041088C"/>
    <w:rsid w:val="0041230E"/>
    <w:rsid w:val="00420A38"/>
    <w:rsid w:val="00426DB3"/>
    <w:rsid w:val="00431B19"/>
    <w:rsid w:val="00451BD0"/>
    <w:rsid w:val="004533B7"/>
    <w:rsid w:val="00455632"/>
    <w:rsid w:val="004661AD"/>
    <w:rsid w:val="004A3DE4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4FA2"/>
    <w:rsid w:val="005C566C"/>
    <w:rsid w:val="005C696F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946C0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329CF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75B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A786E"/>
    <w:rsid w:val="009B3877"/>
    <w:rsid w:val="009B56D3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282"/>
    <w:rsid w:val="00BB2B9F"/>
    <w:rsid w:val="00BB7D9E"/>
    <w:rsid w:val="00BC2334"/>
    <w:rsid w:val="00BD3CB8"/>
    <w:rsid w:val="00BD4E6F"/>
    <w:rsid w:val="00BE700D"/>
    <w:rsid w:val="00BF32F0"/>
    <w:rsid w:val="00BF4DCE"/>
    <w:rsid w:val="00C00378"/>
    <w:rsid w:val="00C02DDD"/>
    <w:rsid w:val="00C05CE5"/>
    <w:rsid w:val="00C52A4D"/>
    <w:rsid w:val="00C6171E"/>
    <w:rsid w:val="00C865DF"/>
    <w:rsid w:val="00C93D19"/>
    <w:rsid w:val="00CA5FFE"/>
    <w:rsid w:val="00CA6F2C"/>
    <w:rsid w:val="00CC79CE"/>
    <w:rsid w:val="00CE6A2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1DAF"/>
    <w:rsid w:val="00DA2930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84EE5"/>
    <w:rsid w:val="00E912A6"/>
    <w:rsid w:val="00EA4844"/>
    <w:rsid w:val="00EA4D9C"/>
    <w:rsid w:val="00EA5A97"/>
    <w:rsid w:val="00EB75EE"/>
    <w:rsid w:val="00EE4C1D"/>
    <w:rsid w:val="00EF3685"/>
    <w:rsid w:val="00EF7DA3"/>
    <w:rsid w:val="00F04350"/>
    <w:rsid w:val="00F133DB"/>
    <w:rsid w:val="00F159EB"/>
    <w:rsid w:val="00F25BF4"/>
    <w:rsid w:val="00F267DB"/>
    <w:rsid w:val="00F46F6F"/>
    <w:rsid w:val="00F60608"/>
    <w:rsid w:val="00F62217"/>
    <w:rsid w:val="00F674DE"/>
    <w:rsid w:val="00F71ACC"/>
    <w:rsid w:val="00FA4929"/>
    <w:rsid w:val="00FA632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uiPriority w:val="9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3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CE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ime.alvarez@iala-aism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G1158</b:Tag>
    <b:SourceType>Report</b:SourceType>
    <b:Guid>{1ADE29FB-F2A0-4FE2-987C-19AE434A58C7}</b:Guid>
    <b:Title>IALA Guideline G1158 VDES R-Mode</b:Title>
    <b:Year>December 2020</b:Year>
    <b:LCID>en-GB</b:LCID>
    <b:Author>
      <b:Author>
        <b:NameList>
          <b:Person>
            <b:Last>IALA</b:Last>
          </b:Person>
        </b:NameList>
      </b:Author>
    </b:Author>
    <b:Publisher>Edition 1.0</b:Publisher>
    <b:RefOrder>1</b:RefOrder>
  </b:Source>
  <b:Source>
    <b:Tag>RTC13</b:Tag>
    <b:SourceType>Report</b:SourceType>
    <b:Guid>{D1A5CCCC-0A12-43F6-867B-68F313C1F497}</b:Guid>
    <b:Author>
      <b:Author>
        <b:NameList>
          <b:Person>
            <b:Last>RTCM</b:Last>
          </b:Person>
        </b:NameList>
      </b:Author>
    </b:Author>
    <b:Title>RTCM Standard 10403.2 Differential GNSS services - version 3</b:Title>
    <b:Year>July 2013</b:Year>
    <b:LCID>en-GB</b:LCID>
    <b:RefOrder>2</b:RefOrder>
  </b:Source>
  <b:Source>
    <b:Tag>ITU06</b:Tag>
    <b:SourceType>Report</b:SourceType>
    <b:Guid>{7D5CED55-FFCC-44A3-94B7-927F23465A73}</b:Guid>
    <b:LCID>en-GB</b:LCID>
    <b:Author>
      <b:Author>
        <b:NameList>
          <b:Person>
            <b:Last>ITU-R</b:Last>
          </b:Person>
        </b:NameList>
      </b:Author>
    </b:Author>
    <b:Title>Recommendation ITU-R M.823-3 - Technical characteristics of differential transmissions for global navigation</b:Title>
    <b:Year>2006</b:Year>
    <b:RefOrder>3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4DBCED-95B6-4B00-90E8-676ED71C69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77DA79-DBF8-4C71-A225-3E3285A46D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63</cp:revision>
  <dcterms:created xsi:type="dcterms:W3CDTF">2021-08-28T15:13:00Z</dcterms:created>
  <dcterms:modified xsi:type="dcterms:W3CDTF">2024-04-02T14:47:00Z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