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A4D489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201026">
        <w:rPr>
          <w:rFonts w:ascii="Calibri" w:hAnsi="Calibri"/>
        </w:rPr>
        <w:t>8</w:t>
      </w:r>
      <w:r w:rsidRPr="007A395D">
        <w:rPr>
          <w:rFonts w:ascii="Calibri" w:hAnsi="Calibri"/>
        </w:rPr>
        <w:t>-</w:t>
      </w:r>
      <w:r w:rsidR="0067250F" w:rsidRPr="0067250F">
        <w:rPr>
          <w:rFonts w:ascii="Calibri" w:hAnsi="Calibri"/>
        </w:rPr>
        <w:t>3.2.2.6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415596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D42A3">
        <w:rPr>
          <w:rFonts w:ascii="Calibri" w:hAnsi="Calibri"/>
        </w:rPr>
        <w:t>X</w:t>
      </w:r>
      <w:r w:rsidRPr="007A395D">
        <w:rPr>
          <w:rFonts w:ascii="Calibri" w:hAnsi="Calibri" w:cs="Arial"/>
          <w:sz w:val="24"/>
          <w:szCs w:val="24"/>
        </w:rPr>
        <w:t xml:space="preserve">  Input</w:t>
      </w:r>
    </w:p>
    <w:p w14:paraId="0BC79547" w14:textId="7B627D1B"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7C6C87FD" w14:textId="3FCDF723" w:rsidR="00A35889" w:rsidRPr="00906122" w:rsidRDefault="00362CD9" w:rsidP="00115222">
      <w:pPr>
        <w:pStyle w:val="BodyText"/>
        <w:tabs>
          <w:tab w:val="left" w:pos="2835"/>
        </w:tabs>
        <w:ind w:left="1440" w:hanging="1440"/>
        <w:rPr>
          <w:rFonts w:ascii="Calibri" w:hAnsi="Calibri"/>
        </w:rPr>
      </w:pPr>
      <w:r w:rsidRPr="00906122">
        <w:rPr>
          <w:rFonts w:ascii="Calibri" w:hAnsi="Calibri"/>
        </w:rPr>
        <w:t>Author(s)</w:t>
      </w:r>
      <w:r w:rsidR="00FE5674" w:rsidRPr="00906122">
        <w:rPr>
          <w:rFonts w:ascii="Calibri" w:hAnsi="Calibri"/>
        </w:rPr>
        <w:t xml:space="preserve"> / Submitter(s)</w:t>
      </w:r>
      <w:r w:rsidRPr="00906122">
        <w:rPr>
          <w:rFonts w:ascii="Calibri" w:hAnsi="Calibri"/>
        </w:rPr>
        <w:tab/>
      </w:r>
      <w:r w:rsidR="0080294B" w:rsidRPr="00906122">
        <w:rPr>
          <w:rFonts w:ascii="Calibri" w:hAnsi="Calibri"/>
        </w:rPr>
        <w:tab/>
      </w:r>
      <w:r w:rsidR="0080294B" w:rsidRPr="00906122">
        <w:rPr>
          <w:rFonts w:ascii="Calibri" w:hAnsi="Calibri"/>
        </w:rPr>
        <w:tab/>
      </w:r>
      <w:r w:rsidR="00D269A3" w:rsidRPr="00906122">
        <w:rPr>
          <w:rFonts w:ascii="Calibri" w:hAnsi="Calibri"/>
        </w:rPr>
        <w:t xml:space="preserve">Manuel Lopez (EUSPA), </w:t>
      </w:r>
      <w:r w:rsidR="008D469E" w:rsidRPr="00906122">
        <w:rPr>
          <w:rFonts w:ascii="Calibri" w:hAnsi="Calibri"/>
        </w:rPr>
        <w:t xml:space="preserve">Jose Manuel </w:t>
      </w:r>
      <w:r w:rsidR="00A35889" w:rsidRPr="00906122">
        <w:rPr>
          <w:rFonts w:ascii="Calibri" w:hAnsi="Calibri"/>
        </w:rPr>
        <w:t>Al</w:t>
      </w:r>
      <w:r w:rsidR="008D469E" w:rsidRPr="00906122">
        <w:rPr>
          <w:rFonts w:ascii="Calibri" w:hAnsi="Calibri"/>
        </w:rPr>
        <w:t xml:space="preserve">varez (ESSP), Jose Luis </w:t>
      </w:r>
      <w:r w:rsidR="00D2027D" w:rsidRPr="00906122">
        <w:rPr>
          <w:rFonts w:ascii="Calibri" w:hAnsi="Calibri"/>
        </w:rPr>
        <w:t xml:space="preserve">Martín </w:t>
      </w:r>
      <w:r w:rsidR="00A35889" w:rsidRPr="00906122">
        <w:rPr>
          <w:rFonts w:ascii="Calibri" w:hAnsi="Calibri"/>
        </w:rPr>
        <w:t xml:space="preserve">  </w:t>
      </w:r>
    </w:p>
    <w:p w14:paraId="01FC5420" w14:textId="1F4C0D0E" w:rsidR="00362CD9" w:rsidRPr="00906122" w:rsidRDefault="00A35889" w:rsidP="00115222">
      <w:pPr>
        <w:pStyle w:val="BodyText"/>
        <w:tabs>
          <w:tab w:val="left" w:pos="2835"/>
        </w:tabs>
        <w:ind w:left="1440" w:hanging="1440"/>
        <w:rPr>
          <w:rFonts w:ascii="Calibri" w:hAnsi="Calibri"/>
          <w:color w:val="FF0000"/>
        </w:rPr>
      </w:pPr>
      <w:r w:rsidRPr="00906122">
        <w:rPr>
          <w:rFonts w:ascii="Calibri" w:hAnsi="Calibri"/>
        </w:rPr>
        <w:t xml:space="preserve">                                                                        </w:t>
      </w:r>
      <w:r w:rsidR="008D469E" w:rsidRPr="00906122">
        <w:rPr>
          <w:rFonts w:ascii="Calibri" w:hAnsi="Calibri"/>
        </w:rPr>
        <w:t>(ESSP), Javier Esteban (ESSP)</w:t>
      </w:r>
      <w:r w:rsidR="00DA41B8" w:rsidRPr="00906122">
        <w:rPr>
          <w:rFonts w:ascii="Calibri" w:hAnsi="Calibri"/>
        </w:rPr>
        <w:t>, E</w:t>
      </w:r>
      <w:r w:rsidR="00981E70" w:rsidRPr="00906122">
        <w:rPr>
          <w:rFonts w:ascii="Calibri" w:hAnsi="Calibri"/>
        </w:rPr>
        <w:t>lisabet</w:t>
      </w:r>
      <w:r w:rsidR="00DA41B8" w:rsidRPr="00906122">
        <w:rPr>
          <w:rFonts w:ascii="Calibri" w:hAnsi="Calibri"/>
        </w:rPr>
        <w:t xml:space="preserve"> Lacarra (ESSP)</w:t>
      </w:r>
    </w:p>
    <w:p w14:paraId="60BCC120" w14:textId="77777777" w:rsidR="0080294B" w:rsidRPr="00906122" w:rsidRDefault="0080294B" w:rsidP="00FE5674">
      <w:pPr>
        <w:pStyle w:val="BodyText"/>
        <w:tabs>
          <w:tab w:val="left" w:pos="2835"/>
        </w:tabs>
        <w:rPr>
          <w:rFonts w:ascii="Calibri" w:hAnsi="Calibri"/>
        </w:rPr>
      </w:pPr>
    </w:p>
    <w:p w14:paraId="58D8E2B5" w14:textId="7370FA23" w:rsidR="00A108B1" w:rsidRPr="00605E43" w:rsidRDefault="008D469E" w:rsidP="00A108B1">
      <w:pPr>
        <w:pStyle w:val="Title"/>
        <w:rPr>
          <w:rFonts w:ascii="Calibri" w:hAnsi="Calibri"/>
          <w:color w:val="0070C0"/>
        </w:rPr>
      </w:pPr>
      <w:r w:rsidRPr="008D469E">
        <w:rPr>
          <w:rFonts w:ascii="Calibri" w:hAnsi="Calibri"/>
          <w:color w:val="0070C0"/>
        </w:rPr>
        <w:t>Discussion</w:t>
      </w:r>
      <w:r w:rsidR="00A108B1" w:rsidRPr="008D469E">
        <w:rPr>
          <w:rFonts w:ascii="Calibri" w:hAnsi="Calibri"/>
          <w:color w:val="0070C0"/>
        </w:rPr>
        <w:t xml:space="preserve"> o</w:t>
      </w:r>
      <w:r w:rsidRPr="008D469E">
        <w:rPr>
          <w:rFonts w:ascii="Calibri" w:hAnsi="Calibri"/>
          <w:color w:val="0070C0"/>
        </w:rPr>
        <w:t>n</w:t>
      </w:r>
      <w:r w:rsidR="00A108B1" w:rsidRPr="008D469E">
        <w:rPr>
          <w:rFonts w:ascii="Calibri" w:hAnsi="Calibri"/>
          <w:color w:val="0070C0"/>
        </w:rPr>
        <w:t xml:space="preserve"> Procedures and Requirements for the Recognition of Augmentation Systems in the WWRNS</w:t>
      </w:r>
    </w:p>
    <w:p w14:paraId="0F258596" w14:textId="50FB6E37" w:rsidR="00A446C9" w:rsidRPr="00605E43" w:rsidRDefault="00A446C9" w:rsidP="00605E43">
      <w:pPr>
        <w:pStyle w:val="Heading1"/>
      </w:pPr>
      <w:r w:rsidRPr="00605E43">
        <w:t>Summary</w:t>
      </w:r>
    </w:p>
    <w:p w14:paraId="130E2A18" w14:textId="070F5632" w:rsidR="00555F5C" w:rsidRDefault="00555F5C" w:rsidP="00555F5C">
      <w:pPr>
        <w:pStyle w:val="BodyText"/>
        <w:rPr>
          <w:rFonts w:ascii="Calibri" w:hAnsi="Calibri"/>
        </w:rPr>
      </w:pPr>
      <w:r>
        <w:rPr>
          <w:rFonts w:ascii="Calibri" w:hAnsi="Calibri"/>
        </w:rPr>
        <w:t xml:space="preserve">IMO MSC 107 Committee </w:t>
      </w:r>
      <w:r w:rsidR="00FC4E92">
        <w:rPr>
          <w:rFonts w:ascii="Calibri" w:hAnsi="Calibri"/>
        </w:rPr>
        <w:t>(31</w:t>
      </w:r>
      <w:r w:rsidR="00A16A81">
        <w:rPr>
          <w:rFonts w:ascii="Calibri" w:hAnsi="Calibri"/>
        </w:rPr>
        <w:t>st</w:t>
      </w:r>
      <w:r w:rsidR="00FC4E92">
        <w:rPr>
          <w:rFonts w:ascii="Calibri" w:hAnsi="Calibri"/>
        </w:rPr>
        <w:t xml:space="preserve"> May</w:t>
      </w:r>
      <w:r w:rsidR="005E250A">
        <w:rPr>
          <w:rFonts w:ascii="Calibri" w:hAnsi="Calibri"/>
        </w:rPr>
        <w:t xml:space="preserve"> </w:t>
      </w:r>
      <w:r w:rsidR="00FC4E92">
        <w:rPr>
          <w:rFonts w:ascii="Calibri" w:hAnsi="Calibri"/>
        </w:rPr>
        <w:t>-</w:t>
      </w:r>
      <w:r w:rsidR="005E250A">
        <w:rPr>
          <w:rFonts w:ascii="Calibri" w:hAnsi="Calibri"/>
        </w:rPr>
        <w:t xml:space="preserve"> </w:t>
      </w:r>
      <w:r w:rsidR="00FC4E92">
        <w:rPr>
          <w:rFonts w:ascii="Calibri" w:hAnsi="Calibri"/>
        </w:rPr>
        <w:t>9</w:t>
      </w:r>
      <w:r w:rsidR="00A16A81">
        <w:rPr>
          <w:rFonts w:ascii="Calibri" w:hAnsi="Calibri"/>
        </w:rPr>
        <w:t>th</w:t>
      </w:r>
      <w:r w:rsidR="00FC4E92">
        <w:rPr>
          <w:rFonts w:ascii="Calibri" w:hAnsi="Calibri"/>
        </w:rPr>
        <w:t xml:space="preserve"> June 2023) </w:t>
      </w:r>
      <w:r>
        <w:rPr>
          <w:rFonts w:ascii="Calibri" w:hAnsi="Calibri"/>
        </w:rPr>
        <w:t xml:space="preserve">considered the document MSC 107/17/7 co-sponsored by IALA, </w:t>
      </w:r>
      <w:r w:rsidRPr="00D12282">
        <w:rPr>
          <w:rFonts w:ascii="Calibri" w:hAnsi="Calibri"/>
        </w:rPr>
        <w:t>proposing a new</w:t>
      </w:r>
      <w:r w:rsidR="00455014">
        <w:rPr>
          <w:rFonts w:ascii="Calibri" w:hAnsi="Calibri"/>
        </w:rPr>
        <w:t xml:space="preserve"> o</w:t>
      </w:r>
      <w:r w:rsidRPr="00D12282">
        <w:rPr>
          <w:rFonts w:ascii="Calibri" w:hAnsi="Calibri"/>
        </w:rPr>
        <w:t>utput to develop minimum performance standards for dual frequency multi-constellation</w:t>
      </w:r>
      <w:r>
        <w:rPr>
          <w:rFonts w:ascii="Calibri" w:hAnsi="Calibri"/>
        </w:rPr>
        <w:t xml:space="preserve"> </w:t>
      </w:r>
      <w:r w:rsidRPr="00D12282">
        <w:rPr>
          <w:rFonts w:ascii="Calibri" w:hAnsi="Calibri"/>
        </w:rPr>
        <w:t>satellite-based augmentation systems (DFMC SBAS) and advanced receiver autonomous</w:t>
      </w:r>
      <w:r>
        <w:rPr>
          <w:rFonts w:ascii="Calibri" w:hAnsi="Calibri"/>
        </w:rPr>
        <w:t xml:space="preserve"> i</w:t>
      </w:r>
      <w:r w:rsidRPr="00D12282">
        <w:rPr>
          <w:rFonts w:ascii="Calibri" w:hAnsi="Calibri"/>
        </w:rPr>
        <w:t>ntegrity monitoring (ARAIM) in</w:t>
      </w:r>
      <w:r>
        <w:rPr>
          <w:rFonts w:ascii="Calibri" w:hAnsi="Calibri"/>
        </w:rPr>
        <w:t xml:space="preserve"> s</w:t>
      </w:r>
      <w:r w:rsidRPr="00D12282">
        <w:rPr>
          <w:rFonts w:ascii="Calibri" w:hAnsi="Calibri"/>
        </w:rPr>
        <w:t>hipborne radionavigation receivers</w:t>
      </w:r>
      <w:r>
        <w:rPr>
          <w:rFonts w:ascii="Calibri" w:hAnsi="Calibri"/>
        </w:rPr>
        <w:t xml:space="preserve">. The IMO MSC committee noted that: </w:t>
      </w:r>
    </w:p>
    <w:p w14:paraId="2171A5F3" w14:textId="00F4B6B8" w:rsidR="00555F5C" w:rsidRPr="008F73EB" w:rsidRDefault="00555F5C" w:rsidP="0054101E">
      <w:pPr>
        <w:pStyle w:val="BodyText"/>
        <w:numPr>
          <w:ilvl w:val="0"/>
          <w:numId w:val="19"/>
        </w:numPr>
        <w:rPr>
          <w:rFonts w:ascii="Calibri" w:hAnsi="Calibri"/>
        </w:rPr>
      </w:pPr>
      <w:r w:rsidRPr="008F73EB">
        <w:rPr>
          <w:rFonts w:ascii="Calibri" w:hAnsi="Calibri"/>
        </w:rPr>
        <w:t>radionavigation systems and global navigation satellite systems (GNSS) were</w:t>
      </w:r>
      <w:r>
        <w:rPr>
          <w:rFonts w:ascii="Calibri" w:hAnsi="Calibri"/>
        </w:rPr>
        <w:t xml:space="preserve"> </w:t>
      </w:r>
      <w:r w:rsidRPr="008F73EB">
        <w:rPr>
          <w:rFonts w:ascii="Calibri" w:hAnsi="Calibri"/>
        </w:rPr>
        <w:t>assessed and recognized by the Organization following the procedures and</w:t>
      </w:r>
      <w:r>
        <w:rPr>
          <w:rFonts w:ascii="Calibri" w:hAnsi="Calibri"/>
        </w:rPr>
        <w:t xml:space="preserve"> c</w:t>
      </w:r>
      <w:r w:rsidRPr="008F73EB">
        <w:rPr>
          <w:rFonts w:ascii="Calibri" w:hAnsi="Calibri"/>
        </w:rPr>
        <w:t>riteria set out in resolutions A.1046(27) and A.915(22), as appropriate, and</w:t>
      </w:r>
      <w:r>
        <w:rPr>
          <w:rFonts w:ascii="Calibri" w:hAnsi="Calibri"/>
        </w:rPr>
        <w:t xml:space="preserve"> </w:t>
      </w:r>
      <w:r w:rsidRPr="008F73EB">
        <w:rPr>
          <w:rFonts w:ascii="Calibri" w:hAnsi="Calibri"/>
        </w:rPr>
        <w:t>on this basis performance standards for receiver equipment were developed.</w:t>
      </w:r>
    </w:p>
    <w:p w14:paraId="1FF81CD8" w14:textId="77777777" w:rsidR="00555F5C" w:rsidRDefault="00555F5C" w:rsidP="0054101E">
      <w:pPr>
        <w:pStyle w:val="BodyText"/>
        <w:numPr>
          <w:ilvl w:val="0"/>
          <w:numId w:val="19"/>
        </w:numPr>
        <w:rPr>
          <w:rFonts w:ascii="Calibri" w:hAnsi="Calibri"/>
        </w:rPr>
      </w:pPr>
      <w:bookmarkStart w:id="0" w:name="_Hlk161224748"/>
      <w:r w:rsidRPr="008F73EB">
        <w:rPr>
          <w:rFonts w:ascii="Calibri" w:hAnsi="Calibri"/>
          <w:b/>
        </w:rPr>
        <w:t>procedures and/or criteria for the recognition of augmentation systems as part of the Worldwide Radionavigation System were not clearly established by the Organization</w:t>
      </w:r>
      <w:bookmarkEnd w:id="0"/>
      <w:r w:rsidRPr="008F73EB">
        <w:rPr>
          <w:rFonts w:ascii="Calibri" w:hAnsi="Calibri"/>
          <w:b/>
        </w:rPr>
        <w:t>;</w:t>
      </w:r>
      <w:r w:rsidRPr="008F73EB">
        <w:rPr>
          <w:rFonts w:ascii="Calibri" w:hAnsi="Calibri"/>
        </w:rPr>
        <w:t xml:space="preserve"> and</w:t>
      </w:r>
    </w:p>
    <w:p w14:paraId="0C773B7A" w14:textId="77777777" w:rsidR="00555F5C" w:rsidRPr="008F73EB" w:rsidRDefault="00555F5C" w:rsidP="0054101E">
      <w:pPr>
        <w:pStyle w:val="BodyText"/>
        <w:numPr>
          <w:ilvl w:val="0"/>
          <w:numId w:val="19"/>
        </w:numPr>
        <w:rPr>
          <w:rFonts w:ascii="Calibri" w:hAnsi="Calibri"/>
        </w:rPr>
      </w:pPr>
      <w:r w:rsidRPr="008F73EB">
        <w:rPr>
          <w:rFonts w:ascii="Calibri" w:hAnsi="Calibri"/>
        </w:rPr>
        <w:t>augmentation systems were proposed as new functionalities or capabilities for</w:t>
      </w:r>
      <w:r>
        <w:rPr>
          <w:rFonts w:ascii="Calibri" w:hAnsi="Calibri"/>
        </w:rPr>
        <w:t xml:space="preserve"> </w:t>
      </w:r>
      <w:r w:rsidRPr="008F73EB">
        <w:rPr>
          <w:rFonts w:ascii="Calibri" w:hAnsi="Calibri"/>
        </w:rPr>
        <w:t>GNSS shipborne receiver equipment.</w:t>
      </w:r>
    </w:p>
    <w:p w14:paraId="553162DA" w14:textId="77777777" w:rsidR="00555F5C" w:rsidRPr="008F73EB" w:rsidRDefault="00555F5C" w:rsidP="00555F5C">
      <w:pPr>
        <w:pStyle w:val="BodyText"/>
        <w:rPr>
          <w:rFonts w:ascii="Calibri" w:hAnsi="Calibri"/>
        </w:rPr>
      </w:pPr>
      <w:r>
        <w:rPr>
          <w:rFonts w:ascii="Calibri" w:hAnsi="Calibri"/>
        </w:rPr>
        <w:t>T</w:t>
      </w:r>
      <w:r w:rsidRPr="008F73EB">
        <w:rPr>
          <w:rFonts w:ascii="Calibri" w:hAnsi="Calibri"/>
        </w:rPr>
        <w:t>he Committee agreed to include in its post-biennial agenda:</w:t>
      </w:r>
    </w:p>
    <w:p w14:paraId="62AA337D" w14:textId="77777777" w:rsidR="00555F5C" w:rsidRPr="008F73EB" w:rsidRDefault="00555F5C" w:rsidP="0054101E">
      <w:pPr>
        <w:pStyle w:val="BodyText"/>
        <w:numPr>
          <w:ilvl w:val="0"/>
          <w:numId w:val="20"/>
        </w:numPr>
        <w:rPr>
          <w:rFonts w:ascii="Calibri" w:hAnsi="Calibri"/>
          <w:b/>
        </w:rPr>
      </w:pPr>
      <w:r w:rsidRPr="008F73EB">
        <w:rPr>
          <w:rFonts w:ascii="Calibri" w:hAnsi="Calibri"/>
          <w:b/>
        </w:rPr>
        <w:t>an output on "Development of procedures and requirements for the recognition of augmentation systems in the World-wide radionavigation system", with one session needed to complete the item; and</w:t>
      </w:r>
    </w:p>
    <w:p w14:paraId="2E9F0E73" w14:textId="77777777" w:rsidR="00555F5C" w:rsidRPr="00A35889" w:rsidRDefault="00555F5C" w:rsidP="0054101E">
      <w:pPr>
        <w:pStyle w:val="BodyText"/>
        <w:numPr>
          <w:ilvl w:val="0"/>
          <w:numId w:val="20"/>
        </w:numPr>
      </w:pPr>
      <w:r w:rsidRPr="008F73EB">
        <w:rPr>
          <w:rFonts w:ascii="Calibri" w:hAnsi="Calibri"/>
        </w:rPr>
        <w:t>an output on "Development of performance standards for dual frequency</w:t>
      </w:r>
      <w:r>
        <w:rPr>
          <w:rFonts w:ascii="Calibri" w:hAnsi="Calibri"/>
        </w:rPr>
        <w:t xml:space="preserve"> </w:t>
      </w:r>
      <w:r w:rsidRPr="008F73EB">
        <w:rPr>
          <w:rFonts w:ascii="Calibri" w:hAnsi="Calibri"/>
        </w:rPr>
        <w:t>multi-constellation satellite-based augmentation systems (DFMC SBAS) and</w:t>
      </w:r>
      <w:r>
        <w:rPr>
          <w:rFonts w:ascii="Calibri" w:hAnsi="Calibri"/>
        </w:rPr>
        <w:t xml:space="preserve"> </w:t>
      </w:r>
      <w:r w:rsidRPr="008F73EB">
        <w:rPr>
          <w:rFonts w:ascii="Calibri" w:hAnsi="Calibri"/>
        </w:rPr>
        <w:t>advanced receiver autonomous integrity monitoring (ARAIM) in shipborne</w:t>
      </w:r>
      <w:r>
        <w:rPr>
          <w:rFonts w:ascii="Calibri" w:hAnsi="Calibri"/>
        </w:rPr>
        <w:t xml:space="preserve"> </w:t>
      </w:r>
      <w:r w:rsidRPr="008F73EB">
        <w:rPr>
          <w:rFonts w:ascii="Calibri" w:hAnsi="Calibri"/>
        </w:rPr>
        <w:t>radionavigation receivers", with two sessions needed to complete the item,</w:t>
      </w:r>
      <w:r>
        <w:rPr>
          <w:rFonts w:ascii="Calibri" w:hAnsi="Calibri"/>
        </w:rPr>
        <w:t xml:space="preserve"> </w:t>
      </w:r>
      <w:r w:rsidRPr="008F73EB">
        <w:rPr>
          <w:rFonts w:ascii="Calibri" w:hAnsi="Calibri"/>
        </w:rPr>
        <w:t>assigning the NCSR Sub-Committee as the associated organ. In doing so, the Committee</w:t>
      </w:r>
      <w:r>
        <w:rPr>
          <w:rFonts w:ascii="Calibri" w:hAnsi="Calibri"/>
        </w:rPr>
        <w:t xml:space="preserve"> </w:t>
      </w:r>
      <w:r w:rsidRPr="008F73EB">
        <w:rPr>
          <w:rFonts w:ascii="Calibri" w:hAnsi="Calibri"/>
        </w:rPr>
        <w:t>agreed that the performance standards for DFMC SBAS and ARAIM in shipborne</w:t>
      </w:r>
      <w:r>
        <w:rPr>
          <w:rFonts w:ascii="Calibri" w:hAnsi="Calibri"/>
        </w:rPr>
        <w:t xml:space="preserve"> </w:t>
      </w:r>
      <w:r w:rsidRPr="008F73EB">
        <w:rPr>
          <w:rFonts w:ascii="Calibri" w:hAnsi="Calibri"/>
        </w:rPr>
        <w:t xml:space="preserve">radionavigation receivers should be developed only after the </w:t>
      </w:r>
      <w:r w:rsidRPr="008F73EB">
        <w:rPr>
          <w:rFonts w:ascii="Calibri" w:hAnsi="Calibri"/>
          <w:b/>
        </w:rPr>
        <w:t>approval/adoption of the necessary procedures and requirements for the recognition of augmentation systems</w:t>
      </w:r>
      <w:r>
        <w:rPr>
          <w:rFonts w:ascii="Calibri" w:hAnsi="Calibri"/>
        </w:rPr>
        <w:t>.</w:t>
      </w:r>
    </w:p>
    <w:p w14:paraId="1EFDB3CC" w14:textId="77777777" w:rsidR="00C66A86" w:rsidRDefault="00080241" w:rsidP="00080241">
      <w:pPr>
        <w:pStyle w:val="BodyText"/>
        <w:rPr>
          <w:rFonts w:ascii="Calibri" w:hAnsi="Calibri"/>
        </w:rPr>
      </w:pPr>
      <w:r>
        <w:rPr>
          <w:rFonts w:ascii="Calibri" w:hAnsi="Calibri"/>
        </w:rPr>
        <w:t>In this sense, it is proposed to produce a</w:t>
      </w:r>
      <w:r w:rsidR="00A35889">
        <w:rPr>
          <w:rFonts w:ascii="Calibri" w:hAnsi="Calibri"/>
        </w:rPr>
        <w:t>n</w:t>
      </w:r>
      <w:r>
        <w:rPr>
          <w:rFonts w:ascii="Calibri" w:hAnsi="Calibri"/>
        </w:rPr>
        <w:t xml:space="preserve"> input paper</w:t>
      </w:r>
      <w:r w:rsidR="00C81521">
        <w:rPr>
          <w:rFonts w:ascii="Calibri" w:hAnsi="Calibri"/>
        </w:rPr>
        <w:t xml:space="preserve"> endorsed by IALA</w:t>
      </w:r>
      <w:r>
        <w:rPr>
          <w:rFonts w:ascii="Calibri" w:hAnsi="Calibri"/>
        </w:rPr>
        <w:t xml:space="preserve"> </w:t>
      </w:r>
      <w:r w:rsidR="00C81521">
        <w:rPr>
          <w:rFonts w:ascii="Calibri" w:hAnsi="Calibri"/>
        </w:rPr>
        <w:t>covering the</w:t>
      </w:r>
      <w:r>
        <w:rPr>
          <w:rFonts w:ascii="Calibri" w:hAnsi="Calibri"/>
        </w:rPr>
        <w:t xml:space="preserve"> </w:t>
      </w:r>
      <w:r w:rsidRPr="008F73EB">
        <w:rPr>
          <w:rFonts w:ascii="Calibri" w:hAnsi="Calibri"/>
          <w:b/>
        </w:rPr>
        <w:t xml:space="preserve">Development of procedures and requirements for the recognition of augmentation systems in the World-wide </w:t>
      </w:r>
      <w:r w:rsidRPr="008F73EB">
        <w:rPr>
          <w:rFonts w:ascii="Calibri" w:hAnsi="Calibri"/>
          <w:b/>
        </w:rPr>
        <w:lastRenderedPageBreak/>
        <w:t>radionavigation system</w:t>
      </w:r>
      <w:r>
        <w:rPr>
          <w:rFonts w:ascii="Calibri" w:hAnsi="Calibri"/>
        </w:rPr>
        <w:t xml:space="preserve"> </w:t>
      </w:r>
      <w:r w:rsidR="00C81521">
        <w:rPr>
          <w:rFonts w:ascii="Calibri" w:hAnsi="Calibri"/>
        </w:rPr>
        <w:t xml:space="preserve">to be presented in IMO </w:t>
      </w:r>
      <w:r w:rsidR="00234193">
        <w:rPr>
          <w:rFonts w:ascii="Calibri" w:hAnsi="Calibri"/>
        </w:rPr>
        <w:t>NCSR</w:t>
      </w:r>
      <w:r w:rsidR="00C81521">
        <w:rPr>
          <w:rFonts w:ascii="Calibri" w:hAnsi="Calibri"/>
        </w:rPr>
        <w:t xml:space="preserve"> 12</w:t>
      </w:r>
      <w:r w:rsidR="00C81521" w:rsidRPr="00906122">
        <w:rPr>
          <w:rFonts w:ascii="Calibri" w:hAnsi="Calibri"/>
          <w:vertAlign w:val="superscript"/>
        </w:rPr>
        <w:t>th</w:t>
      </w:r>
      <w:r w:rsidR="00C81521">
        <w:rPr>
          <w:rFonts w:ascii="Calibri" w:hAnsi="Calibri"/>
        </w:rPr>
        <w:t xml:space="preserve"> session </w:t>
      </w:r>
      <w:r>
        <w:rPr>
          <w:rFonts w:ascii="Calibri" w:hAnsi="Calibri"/>
        </w:rPr>
        <w:t xml:space="preserve">in 2025 </w:t>
      </w:r>
      <w:r w:rsidR="00C81521">
        <w:rPr>
          <w:rFonts w:ascii="Calibri" w:hAnsi="Calibri"/>
        </w:rPr>
        <w:t>as a meaningful input to</w:t>
      </w:r>
      <w:r>
        <w:rPr>
          <w:rFonts w:ascii="Calibri" w:hAnsi="Calibri"/>
        </w:rPr>
        <w:t xml:space="preserve"> </w:t>
      </w:r>
      <w:r w:rsidR="00C81521">
        <w:rPr>
          <w:rFonts w:ascii="Calibri" w:hAnsi="Calibri"/>
        </w:rPr>
        <w:t xml:space="preserve">for the Member States to agree on the </w:t>
      </w:r>
      <w:r w:rsidR="00C81521" w:rsidRPr="00C81521">
        <w:rPr>
          <w:rFonts w:ascii="Calibri" w:hAnsi="Calibri"/>
        </w:rPr>
        <w:t xml:space="preserve">procedures and/or criteria </w:t>
      </w:r>
      <w:r w:rsidR="00C81521">
        <w:rPr>
          <w:rFonts w:ascii="Calibri" w:hAnsi="Calibri"/>
        </w:rPr>
        <w:t>to recognize the</w:t>
      </w:r>
      <w:r w:rsidR="00C81521" w:rsidRPr="00C81521">
        <w:rPr>
          <w:rFonts w:ascii="Calibri" w:hAnsi="Calibri"/>
        </w:rPr>
        <w:t xml:space="preserve"> augmentation systems as part of the Worldwide Radionavigation System</w:t>
      </w:r>
      <w:r w:rsidR="00C81521">
        <w:rPr>
          <w:rFonts w:ascii="Calibri" w:hAnsi="Calibri"/>
        </w:rPr>
        <w:t xml:space="preserve"> (WWRNS)</w:t>
      </w:r>
      <w:r w:rsidR="00C81521" w:rsidRPr="00C81521">
        <w:rPr>
          <w:rFonts w:ascii="Calibri" w:hAnsi="Calibri"/>
        </w:rPr>
        <w:t xml:space="preserve"> by </w:t>
      </w:r>
      <w:r w:rsidR="00C81521">
        <w:rPr>
          <w:rFonts w:ascii="Calibri" w:hAnsi="Calibri"/>
        </w:rPr>
        <w:t>IMO</w:t>
      </w:r>
      <w:r w:rsidR="000E50F1">
        <w:rPr>
          <w:rFonts w:ascii="Calibri" w:hAnsi="Calibri"/>
        </w:rPr>
        <w:t xml:space="preserve">. </w:t>
      </w:r>
      <w:r w:rsidR="00C81521">
        <w:rPr>
          <w:rFonts w:ascii="Calibri" w:hAnsi="Calibri"/>
        </w:rPr>
        <w:t>This first accomplishment will facilitate the Member States to work at IMO in the</w:t>
      </w:r>
      <w:r>
        <w:rPr>
          <w:rFonts w:ascii="Calibri" w:hAnsi="Calibri"/>
        </w:rPr>
        <w:t xml:space="preserve"> development of </w:t>
      </w:r>
      <w:r w:rsidRPr="008F73EB">
        <w:rPr>
          <w:rFonts w:ascii="Calibri" w:hAnsi="Calibri"/>
        </w:rPr>
        <w:t>performance standards for DFMC SBAS and ARAIM in shipborne</w:t>
      </w:r>
      <w:r>
        <w:rPr>
          <w:rFonts w:ascii="Calibri" w:hAnsi="Calibri"/>
        </w:rPr>
        <w:t xml:space="preserve"> </w:t>
      </w:r>
      <w:r w:rsidRPr="008F73EB">
        <w:rPr>
          <w:rFonts w:ascii="Calibri" w:hAnsi="Calibri"/>
        </w:rPr>
        <w:t>radionavigation receivers</w:t>
      </w:r>
      <w:r w:rsidR="00C81521">
        <w:rPr>
          <w:rFonts w:ascii="Calibri" w:hAnsi="Calibri"/>
        </w:rPr>
        <w:t xml:space="preserve"> in accordance with the two sessions required in doing so</w:t>
      </w:r>
      <w:r>
        <w:rPr>
          <w:rFonts w:ascii="Calibri" w:hAnsi="Calibri"/>
        </w:rPr>
        <w:t xml:space="preserve">. </w:t>
      </w:r>
    </w:p>
    <w:p w14:paraId="51198211" w14:textId="22F51DEB" w:rsidR="00080241" w:rsidRDefault="00C66A86" w:rsidP="00080241">
      <w:pPr>
        <w:pStyle w:val="BodyText"/>
        <w:rPr>
          <w:rFonts w:ascii="Calibri" w:hAnsi="Calibri"/>
        </w:rPr>
      </w:pPr>
      <w:r>
        <w:rPr>
          <w:rFonts w:ascii="Calibri" w:hAnsi="Calibri"/>
        </w:rPr>
        <w:t xml:space="preserve">To that purpose, and due to their relevance as a baseline for the standard development, it is recalled the status of the DFMC SBAS and ARAIM standards in the aviation domain, these are the EUROCAE ED-259A MOPS and ICAO SARPS Amend 93 both recently published in 2023 as well as the EUROCAE ED-259B for H-ARAIM planned by end of 2025. Those standards and their publication timing fit perfectly with the proposed schedule of the development of IEC standard that could be launched in 2026 while being completed and published in 2028 (expected date when </w:t>
      </w:r>
      <w:r w:rsidRPr="00125C81">
        <w:rPr>
          <w:rFonts w:ascii="Calibri" w:hAnsi="Calibri"/>
        </w:rPr>
        <w:t xml:space="preserve">DFMC SBAS and ARAIM </w:t>
      </w:r>
      <w:r>
        <w:rPr>
          <w:rFonts w:ascii="Calibri" w:hAnsi="Calibri"/>
        </w:rPr>
        <w:t>would</w:t>
      </w:r>
      <w:r w:rsidRPr="00125C81">
        <w:rPr>
          <w:rFonts w:ascii="Calibri" w:hAnsi="Calibri"/>
        </w:rPr>
        <w:t xml:space="preserve"> be operational worldwide</w:t>
      </w:r>
      <w:r>
        <w:rPr>
          <w:rFonts w:ascii="Calibri" w:hAnsi="Calibri"/>
        </w:rPr>
        <w:t>)</w:t>
      </w:r>
    </w:p>
    <w:p w14:paraId="2F46034F" w14:textId="77777777" w:rsidR="00080241" w:rsidRPr="00555F5C" w:rsidRDefault="00080241" w:rsidP="00CB728D">
      <w:pPr>
        <w:pStyle w:val="BodyText"/>
      </w:pPr>
    </w:p>
    <w:p w14:paraId="26FA18E3" w14:textId="77777777" w:rsidR="00555F5C" w:rsidRPr="00605E43" w:rsidRDefault="00555F5C" w:rsidP="0054101E">
      <w:pPr>
        <w:pStyle w:val="Heading2"/>
        <w:numPr>
          <w:ilvl w:val="1"/>
          <w:numId w:val="10"/>
        </w:numPr>
        <w:jc w:val="both"/>
      </w:pPr>
      <w:r w:rsidRPr="00605E43">
        <w:t>Purpose of the document</w:t>
      </w:r>
    </w:p>
    <w:p w14:paraId="24195F30" w14:textId="04ACF042" w:rsidR="00555F5C" w:rsidRDefault="00555F5C" w:rsidP="00555F5C">
      <w:pPr>
        <w:pStyle w:val="BodyText"/>
        <w:rPr>
          <w:rFonts w:ascii="Calibri" w:hAnsi="Calibri"/>
        </w:rPr>
      </w:pPr>
      <w:r>
        <w:rPr>
          <w:rFonts w:ascii="Calibri" w:hAnsi="Calibri"/>
        </w:rPr>
        <w:t xml:space="preserve">The purpose of the document is to continue the discussion </w:t>
      </w:r>
      <w:r w:rsidR="00E6488F">
        <w:rPr>
          <w:rFonts w:ascii="Calibri" w:hAnsi="Calibri"/>
        </w:rPr>
        <w:t xml:space="preserve">started </w:t>
      </w:r>
      <w:r>
        <w:rPr>
          <w:rFonts w:ascii="Calibri" w:hAnsi="Calibri"/>
        </w:rPr>
        <w:t>in previous IALA ENG17 committee on the input paper presented and titled “</w:t>
      </w:r>
      <w:r>
        <w:rPr>
          <w:rFonts w:ascii="Calibri" w:hAnsi="Calibri"/>
          <w:color w:val="0070C0"/>
        </w:rPr>
        <w:t>Development of Procedures and Requirements for the Recognition of Augmentation Systems in the WWRNS”</w:t>
      </w:r>
      <w:r>
        <w:rPr>
          <w:rFonts w:ascii="Calibri" w:hAnsi="Calibri"/>
        </w:rPr>
        <w:t xml:space="preserve"> on the resolution from IMO and to work in ENG Committee in the development and </w:t>
      </w:r>
      <w:r w:rsidRPr="00A35889">
        <w:rPr>
          <w:rFonts w:ascii="Calibri" w:hAnsi="Calibri"/>
          <w:u w:val="single"/>
        </w:rPr>
        <w:t>consolidation/endorsement of an input paper for the IMO NCSR</w:t>
      </w:r>
      <w:r w:rsidR="00234193">
        <w:rPr>
          <w:rFonts w:ascii="Calibri" w:hAnsi="Calibri"/>
          <w:u w:val="single"/>
        </w:rPr>
        <w:t xml:space="preserve"> </w:t>
      </w:r>
      <w:r w:rsidRPr="00A35889">
        <w:rPr>
          <w:rFonts w:ascii="Calibri" w:hAnsi="Calibri"/>
          <w:u w:val="single"/>
        </w:rPr>
        <w:t>12</w:t>
      </w:r>
      <w:r w:rsidR="00234193" w:rsidRPr="00906122">
        <w:rPr>
          <w:rFonts w:ascii="Calibri" w:hAnsi="Calibri"/>
          <w:u w:val="single"/>
          <w:vertAlign w:val="superscript"/>
        </w:rPr>
        <w:t>th</w:t>
      </w:r>
      <w:r w:rsidR="00234193">
        <w:rPr>
          <w:rFonts w:ascii="Calibri" w:hAnsi="Calibri"/>
          <w:u w:val="single"/>
        </w:rPr>
        <w:t xml:space="preserve"> session in</w:t>
      </w:r>
      <w:r w:rsidRPr="00A35889">
        <w:rPr>
          <w:rFonts w:ascii="Calibri" w:hAnsi="Calibri"/>
          <w:u w:val="single"/>
        </w:rPr>
        <w:t xml:space="preserve"> in 2025</w:t>
      </w:r>
      <w:r>
        <w:rPr>
          <w:rFonts w:ascii="Calibri" w:hAnsi="Calibri"/>
        </w:rPr>
        <w:t>,</w:t>
      </w:r>
      <w:r w:rsidRPr="00BB3B9F">
        <w:rPr>
          <w:rFonts w:ascii="Calibri" w:hAnsi="Calibri"/>
        </w:rPr>
        <w:t xml:space="preserve"> with the objective of initiating </w:t>
      </w:r>
      <w:r>
        <w:rPr>
          <w:rFonts w:ascii="Calibri" w:hAnsi="Calibri"/>
        </w:rPr>
        <w:t>the “</w:t>
      </w:r>
      <w:r w:rsidRPr="008F73EB">
        <w:rPr>
          <w:rFonts w:ascii="Calibri" w:hAnsi="Calibri"/>
          <w:b/>
        </w:rPr>
        <w:t>Development of procedures and requirements for the recognition of augmentation systems in the World-wide radionavigation system</w:t>
      </w:r>
      <w:r>
        <w:rPr>
          <w:rFonts w:ascii="Calibri" w:hAnsi="Calibri"/>
        </w:rPr>
        <w:t>”</w:t>
      </w:r>
      <w:r w:rsidRPr="00BB3B9F">
        <w:t xml:space="preserve"> </w:t>
      </w:r>
      <w:r w:rsidRPr="00BB3B9F">
        <w:rPr>
          <w:rFonts w:ascii="Calibri" w:hAnsi="Calibri"/>
        </w:rPr>
        <w:t>based on already existing elements from IMO standards and IALA guidelines</w:t>
      </w:r>
      <w:r>
        <w:rPr>
          <w:rFonts w:ascii="Calibri" w:hAnsi="Calibri"/>
        </w:rPr>
        <w:t xml:space="preserve">. </w:t>
      </w:r>
    </w:p>
    <w:p w14:paraId="7C657433" w14:textId="77777777" w:rsidR="00555F5C" w:rsidRDefault="00555F5C" w:rsidP="00555F5C">
      <w:pPr>
        <w:pStyle w:val="BodyText"/>
        <w:rPr>
          <w:rFonts w:ascii="Calibri" w:hAnsi="Calibri"/>
        </w:rPr>
      </w:pPr>
      <w:r>
        <w:rPr>
          <w:rFonts w:ascii="Calibri" w:hAnsi="Calibri"/>
        </w:rPr>
        <w:t>The new input paper should consider:</w:t>
      </w:r>
    </w:p>
    <w:p w14:paraId="5B27B878" w14:textId="38F8E2B9" w:rsidR="00555F5C" w:rsidRDefault="00555F5C" w:rsidP="0054101E">
      <w:pPr>
        <w:pStyle w:val="BodyText"/>
        <w:numPr>
          <w:ilvl w:val="0"/>
          <w:numId w:val="21"/>
        </w:numPr>
        <w:rPr>
          <w:rFonts w:ascii="Calibri" w:hAnsi="Calibri"/>
        </w:rPr>
      </w:pPr>
      <w:r>
        <w:rPr>
          <w:rFonts w:ascii="Calibri" w:hAnsi="Calibri"/>
        </w:rPr>
        <w:t>elements already existing for recognition of GNSS systems in IMO resolutions A.1046, A.915 and MSC.401(95)</w:t>
      </w:r>
      <w:r w:rsidR="0054101E">
        <w:rPr>
          <w:rFonts w:ascii="Calibri" w:hAnsi="Calibri"/>
        </w:rPr>
        <w:t xml:space="preserve">, </w:t>
      </w:r>
      <w:r w:rsidR="000E01A3">
        <w:rPr>
          <w:rFonts w:ascii="Calibri" w:hAnsi="Calibri"/>
        </w:rPr>
        <w:t xml:space="preserve">IMO </w:t>
      </w:r>
      <w:r w:rsidR="0054101E">
        <w:rPr>
          <w:rFonts w:ascii="Calibri" w:hAnsi="Calibri"/>
        </w:rPr>
        <w:t xml:space="preserve">SOLAS </w:t>
      </w:r>
      <w:r w:rsidR="000E01A3">
        <w:rPr>
          <w:rFonts w:ascii="Calibri" w:hAnsi="Calibri"/>
        </w:rPr>
        <w:t>Consolidated Edition 2014</w:t>
      </w:r>
    </w:p>
    <w:p w14:paraId="6BD6A233" w14:textId="7D2B9B47" w:rsidR="00555F5C" w:rsidRPr="00A35889" w:rsidRDefault="00555F5C" w:rsidP="00FC4E92">
      <w:pPr>
        <w:pStyle w:val="BodyText"/>
        <w:numPr>
          <w:ilvl w:val="0"/>
          <w:numId w:val="21"/>
        </w:numPr>
      </w:pPr>
      <w:r w:rsidRPr="00FC4E92">
        <w:rPr>
          <w:rFonts w:ascii="Calibri" w:hAnsi="Calibri"/>
        </w:rPr>
        <w:t>elements existing in IALA Recommendations and Guidelines related to augmentation systems e.g. R</w:t>
      </w:r>
      <w:r w:rsidRPr="00FC4E92">
        <w:rPr>
          <w:rFonts w:ascii="Calibri" w:hAnsi="Calibri"/>
        </w:rPr>
        <w:noBreakHyphen/>
        <w:t>1022 on recognition of augmentation services, G-1112 on performance monitoring of DGNSS services and G-1152 on SBAS Maritime Service</w:t>
      </w:r>
      <w:r w:rsidR="00E6488F" w:rsidRPr="00FC4E92">
        <w:rPr>
          <w:rFonts w:ascii="Calibri" w:hAnsi="Calibri"/>
        </w:rPr>
        <w:t>, G1180</w:t>
      </w:r>
      <w:r w:rsidR="00A427DA" w:rsidRPr="00FC4E92">
        <w:rPr>
          <w:rFonts w:ascii="Calibri" w:hAnsi="Calibri"/>
        </w:rPr>
        <w:t xml:space="preserve"> on Resilience Position, Navigation and Timing (PNT)</w:t>
      </w:r>
      <w:r w:rsidR="00E6488F" w:rsidRPr="00FC4E92">
        <w:rPr>
          <w:rFonts w:ascii="Calibri" w:hAnsi="Calibri"/>
        </w:rPr>
        <w:t>, G1129</w:t>
      </w:r>
      <w:r w:rsidR="00A427DA" w:rsidRPr="00FC4E92">
        <w:rPr>
          <w:rFonts w:ascii="Calibri" w:hAnsi="Calibri"/>
        </w:rPr>
        <w:t xml:space="preserve"> on The Retransmission of SBAS corrections using MF-Radio beacon and AIS.</w:t>
      </w:r>
    </w:p>
    <w:p w14:paraId="099072CD" w14:textId="77777777" w:rsidR="0082695F" w:rsidRPr="00555F5C" w:rsidRDefault="0082695F" w:rsidP="0082695F">
      <w:pPr>
        <w:pStyle w:val="BodyText"/>
        <w:ind w:left="45"/>
        <w:rPr>
          <w:rFonts w:ascii="Calibri" w:hAnsi="Calibri"/>
        </w:rPr>
      </w:pPr>
    </w:p>
    <w:p w14:paraId="36D645BE" w14:textId="77777777" w:rsidR="00B56BDF" w:rsidRPr="0082695F" w:rsidRDefault="00B56BDF" w:rsidP="00605E43">
      <w:pPr>
        <w:pStyle w:val="Heading2"/>
      </w:pPr>
      <w:r w:rsidRPr="0082695F">
        <w:t>Related documents</w:t>
      </w:r>
    </w:p>
    <w:p w14:paraId="78BDB278" w14:textId="66E26F2D" w:rsidR="0082695F" w:rsidRPr="0082695F" w:rsidRDefault="0020557F" w:rsidP="0082695F">
      <w:pPr>
        <w:pStyle w:val="BodyText"/>
        <w:rPr>
          <w:highlight w:val="yellow"/>
        </w:rPr>
      </w:pPr>
      <w:r>
        <w:rPr>
          <w:rFonts w:ascii="Calibri" w:hAnsi="Calibri"/>
        </w:rPr>
        <w:t xml:space="preserve">ENG17 input paper: </w:t>
      </w:r>
      <w:r w:rsidR="0082695F" w:rsidRPr="0020557F">
        <w:rPr>
          <w:rFonts w:ascii="Calibri" w:hAnsi="Calibri"/>
          <w:color w:val="0070C0"/>
        </w:rPr>
        <w:t>“</w:t>
      </w:r>
      <w:r w:rsidR="0082695F">
        <w:rPr>
          <w:rFonts w:ascii="Calibri" w:hAnsi="Calibri"/>
          <w:color w:val="0070C0"/>
        </w:rPr>
        <w:t>Development of Procedures and Requirements for the Recognition of Augmentation Systems in the WWRNS”</w:t>
      </w:r>
    </w:p>
    <w:p w14:paraId="53733F03" w14:textId="77777777" w:rsidR="00A446C9" w:rsidRDefault="00A446C9" w:rsidP="00605E43">
      <w:pPr>
        <w:pStyle w:val="Heading1"/>
      </w:pPr>
      <w:r w:rsidRPr="0057227F">
        <w:t>Background</w:t>
      </w:r>
    </w:p>
    <w:p w14:paraId="36F53B35" w14:textId="04FAF1D3" w:rsidR="00E6488F" w:rsidRPr="00FC4E92" w:rsidRDefault="00E6488F" w:rsidP="00FC4E92">
      <w:pPr>
        <w:pStyle w:val="BodyText"/>
        <w:rPr>
          <w:rFonts w:ascii="Calibri" w:hAnsi="Calibri"/>
        </w:rPr>
      </w:pPr>
      <w:r w:rsidRPr="00FC4E92">
        <w:rPr>
          <w:rFonts w:ascii="Calibri" w:hAnsi="Calibri"/>
        </w:rPr>
        <w:t xml:space="preserve">In </w:t>
      </w:r>
      <w:r w:rsidR="00913AA4" w:rsidRPr="00FC4E92">
        <w:rPr>
          <w:rFonts w:ascii="Calibri" w:hAnsi="Calibri"/>
        </w:rPr>
        <w:t>2017</w:t>
      </w:r>
      <w:r w:rsidRPr="00FC4E92">
        <w:rPr>
          <w:rFonts w:ascii="Calibri" w:hAnsi="Calibri"/>
        </w:rPr>
        <w:t xml:space="preserve">, a process with IMO </w:t>
      </w:r>
      <w:r w:rsidR="00913AA4" w:rsidRPr="00FC4E92">
        <w:rPr>
          <w:rFonts w:ascii="Calibri" w:hAnsi="Calibri"/>
        </w:rPr>
        <w:t xml:space="preserve">was initiated </w:t>
      </w:r>
      <w:r w:rsidRPr="00FC4E92">
        <w:rPr>
          <w:rFonts w:ascii="Calibri" w:hAnsi="Calibri"/>
        </w:rPr>
        <w:t xml:space="preserve">with the proposal of EGNOS </w:t>
      </w:r>
      <w:r w:rsidR="00BB10FB" w:rsidRPr="00FC4E92">
        <w:rPr>
          <w:rFonts w:ascii="Calibri" w:hAnsi="Calibri"/>
        </w:rPr>
        <w:t>recognition within</w:t>
      </w:r>
      <w:r w:rsidRPr="00FC4E92">
        <w:rPr>
          <w:rFonts w:ascii="Calibri" w:hAnsi="Calibri"/>
        </w:rPr>
        <w:t xml:space="preserve"> IMO WWRNS, being this process supported by all EU Council Member states. Even though this proposal was not agreed in MSC 98th session (2017), IMO concluded that indeed the “recognition of augmentation system would not be needed as</w:t>
      </w:r>
      <w:r w:rsidR="00D2027D">
        <w:rPr>
          <w:rFonts w:ascii="Calibri" w:hAnsi="Calibri"/>
        </w:rPr>
        <w:t xml:space="preserve"> </w:t>
      </w:r>
      <w:r w:rsidRPr="00FC4E92">
        <w:rPr>
          <w:rFonts w:ascii="Calibri" w:hAnsi="Calibri"/>
        </w:rPr>
        <w:t>the WWRNS Resolution A.1046(27) was intended for standalone systems, not augmentations”.</w:t>
      </w:r>
    </w:p>
    <w:p w14:paraId="1FBCC343" w14:textId="7D23C95F" w:rsidR="00250052" w:rsidRPr="00FC4E92" w:rsidRDefault="00250052" w:rsidP="00FC4E92">
      <w:pPr>
        <w:pStyle w:val="BodyText"/>
        <w:rPr>
          <w:rFonts w:ascii="Calibri" w:hAnsi="Calibri"/>
        </w:rPr>
      </w:pPr>
      <w:r w:rsidRPr="00FC4E92">
        <w:rPr>
          <w:rFonts w:ascii="Calibri" w:hAnsi="Calibri"/>
        </w:rPr>
        <w:t xml:space="preserve">The topic of recognition of augmentation systems were further </w:t>
      </w:r>
      <w:r w:rsidR="00162875" w:rsidRPr="00FC4E92">
        <w:rPr>
          <w:rFonts w:ascii="Calibri" w:hAnsi="Calibri"/>
        </w:rPr>
        <w:t>discusse</w:t>
      </w:r>
      <w:r w:rsidR="00162875">
        <w:rPr>
          <w:rFonts w:ascii="Calibri" w:hAnsi="Calibri"/>
        </w:rPr>
        <w:t>d</w:t>
      </w:r>
      <w:r w:rsidR="00162875" w:rsidRPr="00FC4E92">
        <w:rPr>
          <w:rFonts w:ascii="Calibri" w:hAnsi="Calibri"/>
        </w:rPr>
        <w:t xml:space="preserve"> </w:t>
      </w:r>
      <w:r w:rsidRPr="00FC4E92">
        <w:rPr>
          <w:rFonts w:ascii="Calibri" w:hAnsi="Calibri"/>
        </w:rPr>
        <w:t xml:space="preserve">in the IMO MSC107. Among the conclusions, the committee noted that: </w:t>
      </w:r>
    </w:p>
    <w:p w14:paraId="279BB603" w14:textId="77777777" w:rsidR="00250052" w:rsidRPr="00FC4E92" w:rsidRDefault="00250052" w:rsidP="00FC4E92">
      <w:pPr>
        <w:pStyle w:val="BodyText"/>
        <w:numPr>
          <w:ilvl w:val="0"/>
          <w:numId w:val="23"/>
        </w:numPr>
        <w:rPr>
          <w:rFonts w:ascii="Calibri" w:hAnsi="Calibri"/>
        </w:rPr>
      </w:pPr>
      <w:r w:rsidRPr="00FC4E92">
        <w:rPr>
          <w:rFonts w:ascii="Calibri" w:hAnsi="Calibri"/>
        </w:rPr>
        <w:t xml:space="preserve">radionavigation systems and global navigation satellite systems (GNSS) were assessed and recognized by the Organization following the procedures and criteria set out in resolutions A.1046(27) and A.915(22), as appropriate, and on this basis performance standards for receiver equipment were </w:t>
      </w:r>
      <w:proofErr w:type="gramStart"/>
      <w:r w:rsidRPr="00FC4E92">
        <w:rPr>
          <w:rFonts w:ascii="Calibri" w:hAnsi="Calibri"/>
        </w:rPr>
        <w:t>developed;</w:t>
      </w:r>
      <w:proofErr w:type="gramEnd"/>
    </w:p>
    <w:p w14:paraId="6032B496" w14:textId="77777777" w:rsidR="00250052" w:rsidRPr="00FC4E92" w:rsidRDefault="00250052" w:rsidP="00FC4E92">
      <w:pPr>
        <w:pStyle w:val="BodyText"/>
        <w:numPr>
          <w:ilvl w:val="0"/>
          <w:numId w:val="23"/>
        </w:numPr>
        <w:rPr>
          <w:rFonts w:ascii="Calibri" w:hAnsi="Calibri"/>
        </w:rPr>
      </w:pPr>
      <w:r w:rsidRPr="00FC4E92">
        <w:rPr>
          <w:rFonts w:ascii="Calibri" w:hAnsi="Calibri"/>
        </w:rPr>
        <w:t xml:space="preserve">procedures and/or criteria for the recognition of augmentation systems as part of the Worldwide Radionavigation System were not clearly established by the </w:t>
      </w:r>
      <w:proofErr w:type="gramStart"/>
      <w:r w:rsidRPr="00FC4E92">
        <w:rPr>
          <w:rFonts w:ascii="Calibri" w:hAnsi="Calibri"/>
        </w:rPr>
        <w:t>Organization;</w:t>
      </w:r>
      <w:proofErr w:type="gramEnd"/>
      <w:r w:rsidRPr="00FC4E92">
        <w:rPr>
          <w:rFonts w:ascii="Calibri" w:hAnsi="Calibri"/>
        </w:rPr>
        <w:t xml:space="preserve"> </w:t>
      </w:r>
    </w:p>
    <w:p w14:paraId="1D8BA11A" w14:textId="0BD91F4B" w:rsidR="00E6488F" w:rsidRPr="00FC4E92" w:rsidRDefault="00250052" w:rsidP="00FC4E92">
      <w:pPr>
        <w:pStyle w:val="BodyText"/>
        <w:numPr>
          <w:ilvl w:val="0"/>
          <w:numId w:val="23"/>
        </w:numPr>
        <w:rPr>
          <w:rFonts w:ascii="Calibri" w:hAnsi="Calibri"/>
        </w:rPr>
      </w:pPr>
      <w:r w:rsidRPr="00FC4E92">
        <w:rPr>
          <w:rFonts w:ascii="Calibri" w:hAnsi="Calibri"/>
        </w:rPr>
        <w:lastRenderedPageBreak/>
        <w:t>augmentation systems were proposed as new functionalities or capabilities for GNSS shipborne receiver equipment.</w:t>
      </w:r>
    </w:p>
    <w:p w14:paraId="041E9135" w14:textId="77777777" w:rsidR="00A446C9" w:rsidRPr="007A395D" w:rsidRDefault="00A446C9" w:rsidP="00605E43">
      <w:pPr>
        <w:pStyle w:val="Heading1"/>
      </w:pPr>
      <w:r w:rsidRPr="007A395D">
        <w:t>Discussion</w:t>
      </w:r>
    </w:p>
    <w:p w14:paraId="2AEA05C1" w14:textId="2DB5F0C9" w:rsidR="007774D7" w:rsidRPr="00BB3B9F" w:rsidRDefault="007774D7" w:rsidP="007774D7">
      <w:pPr>
        <w:pStyle w:val="BodyText"/>
        <w:rPr>
          <w:rFonts w:ascii="Calibri" w:hAnsi="Calibri"/>
        </w:rPr>
      </w:pPr>
      <w:r w:rsidRPr="00BB3B9F">
        <w:rPr>
          <w:rFonts w:ascii="Calibri" w:hAnsi="Calibri"/>
        </w:rPr>
        <w:t xml:space="preserve">It is considered that IMO </w:t>
      </w:r>
      <w:r w:rsidR="00FC4E92">
        <w:rPr>
          <w:rFonts w:ascii="Calibri" w:hAnsi="Calibri"/>
        </w:rPr>
        <w:t>Resolutions</w:t>
      </w:r>
      <w:r w:rsidRPr="00BB3B9F">
        <w:rPr>
          <w:rFonts w:ascii="Calibri" w:hAnsi="Calibri"/>
        </w:rPr>
        <w:t xml:space="preserve"> already include elements that could support this work (e.g. IMO resolution</w:t>
      </w:r>
      <w:r>
        <w:rPr>
          <w:rFonts w:ascii="Calibri" w:hAnsi="Calibri"/>
        </w:rPr>
        <w:t>s</w:t>
      </w:r>
      <w:r w:rsidRPr="00BB3B9F">
        <w:rPr>
          <w:rFonts w:ascii="Calibri" w:hAnsi="Calibri"/>
        </w:rPr>
        <w:t xml:space="preserve"> A.1046</w:t>
      </w:r>
      <w:r w:rsidR="008442F1">
        <w:rPr>
          <w:rFonts w:ascii="Calibri" w:hAnsi="Calibri"/>
        </w:rPr>
        <w:fldChar w:fldCharType="begin"/>
      </w:r>
      <w:r w:rsidR="008442F1">
        <w:rPr>
          <w:rFonts w:ascii="Calibri" w:hAnsi="Calibri"/>
        </w:rPr>
        <w:instrText xml:space="preserve"> REF _Ref160205876 \r \h </w:instrText>
      </w:r>
      <w:r w:rsidR="008442F1">
        <w:rPr>
          <w:rFonts w:ascii="Calibri" w:hAnsi="Calibri"/>
        </w:rPr>
      </w:r>
      <w:r w:rsidR="008442F1">
        <w:rPr>
          <w:rFonts w:ascii="Calibri" w:hAnsi="Calibri"/>
        </w:rPr>
        <w:fldChar w:fldCharType="separate"/>
      </w:r>
      <w:r w:rsidR="00FD6FEA">
        <w:rPr>
          <w:rFonts w:ascii="Calibri" w:hAnsi="Calibri"/>
        </w:rPr>
        <w:t>[3]</w:t>
      </w:r>
      <w:r w:rsidR="008442F1">
        <w:rPr>
          <w:rFonts w:ascii="Calibri" w:hAnsi="Calibri"/>
        </w:rPr>
        <w:fldChar w:fldCharType="end"/>
      </w:r>
      <w:r>
        <w:rPr>
          <w:rFonts w:ascii="Calibri" w:hAnsi="Calibri"/>
        </w:rPr>
        <w:t xml:space="preserve"> and A.915</w:t>
      </w:r>
      <w:r w:rsidR="008442F1">
        <w:rPr>
          <w:rFonts w:ascii="Calibri" w:hAnsi="Calibri"/>
        </w:rPr>
        <w:fldChar w:fldCharType="begin"/>
      </w:r>
      <w:r w:rsidR="008442F1">
        <w:rPr>
          <w:rFonts w:ascii="Calibri" w:hAnsi="Calibri"/>
        </w:rPr>
        <w:instrText xml:space="preserve"> REF _Ref160170028 \r \h </w:instrText>
      </w:r>
      <w:r w:rsidR="008442F1">
        <w:rPr>
          <w:rFonts w:ascii="Calibri" w:hAnsi="Calibri"/>
        </w:rPr>
      </w:r>
      <w:r w:rsidR="008442F1">
        <w:rPr>
          <w:rFonts w:ascii="Calibri" w:hAnsi="Calibri"/>
        </w:rPr>
        <w:fldChar w:fldCharType="separate"/>
      </w:r>
      <w:r w:rsidR="00FD6FEA">
        <w:rPr>
          <w:rFonts w:ascii="Calibri" w:hAnsi="Calibri"/>
        </w:rPr>
        <w:t>[4]</w:t>
      </w:r>
      <w:r w:rsidR="008442F1">
        <w:rPr>
          <w:rFonts w:ascii="Calibri" w:hAnsi="Calibri"/>
        </w:rPr>
        <w:fldChar w:fldCharType="end"/>
      </w:r>
      <w:r w:rsidRPr="00BB3B9F">
        <w:rPr>
          <w:rFonts w:ascii="Calibri" w:hAnsi="Calibri"/>
        </w:rPr>
        <w:t xml:space="preserve">). Furthermore, IALA </w:t>
      </w:r>
      <w:r>
        <w:rPr>
          <w:rFonts w:ascii="Calibri" w:hAnsi="Calibri"/>
        </w:rPr>
        <w:t>Recommendations and Guidelines (noted above)</w:t>
      </w:r>
      <w:r w:rsidRPr="00BB3B9F">
        <w:rPr>
          <w:rFonts w:ascii="Calibri" w:hAnsi="Calibri"/>
        </w:rPr>
        <w:t xml:space="preserve"> would be very valuable input</w:t>
      </w:r>
      <w:r>
        <w:rPr>
          <w:rFonts w:ascii="Calibri" w:hAnsi="Calibri"/>
        </w:rPr>
        <w:t>s</w:t>
      </w:r>
      <w:r w:rsidRPr="00BB3B9F">
        <w:rPr>
          <w:rFonts w:ascii="Calibri" w:hAnsi="Calibri"/>
        </w:rPr>
        <w:t xml:space="preserve"> for the discussion as well.</w:t>
      </w:r>
    </w:p>
    <w:p w14:paraId="4276371F" w14:textId="77777777" w:rsidR="0028746F" w:rsidRDefault="0028746F" w:rsidP="0028746F">
      <w:pPr>
        <w:pStyle w:val="BodyText"/>
        <w:rPr>
          <w:rFonts w:ascii="Calibri" w:hAnsi="Calibri"/>
        </w:rPr>
      </w:pPr>
      <w:r w:rsidRPr="00BB3B9F">
        <w:rPr>
          <w:rFonts w:ascii="Calibri" w:hAnsi="Calibri"/>
        </w:rPr>
        <w:t xml:space="preserve">Consequently, it is proposed that IALA ENG </w:t>
      </w:r>
      <w:r>
        <w:rPr>
          <w:rFonts w:ascii="Calibri" w:hAnsi="Calibri"/>
        </w:rPr>
        <w:t>continue working on</w:t>
      </w:r>
      <w:r w:rsidRPr="00BB3B9F">
        <w:rPr>
          <w:rFonts w:ascii="Calibri" w:hAnsi="Calibri"/>
        </w:rPr>
        <w:t xml:space="preserve"> an input paper for the next IMO NCSR referring to such existing material</w:t>
      </w:r>
      <w:r>
        <w:rPr>
          <w:rFonts w:ascii="Calibri" w:hAnsi="Calibri"/>
        </w:rPr>
        <w:t xml:space="preserve"> and the conclusions extracted from there in terms of common requirements </w:t>
      </w:r>
      <w:r w:rsidRPr="00BB3B9F">
        <w:rPr>
          <w:rFonts w:ascii="Calibri" w:hAnsi="Calibri"/>
        </w:rPr>
        <w:t>to initiate the discussion on augmentation systems so that they are considered part of the WWRNS.</w:t>
      </w:r>
    </w:p>
    <w:p w14:paraId="2C6094C8" w14:textId="4C59F8B4" w:rsidR="00D21F8C" w:rsidRDefault="00D21F8C" w:rsidP="0028746F">
      <w:pPr>
        <w:pStyle w:val="BodyText"/>
        <w:rPr>
          <w:rFonts w:ascii="Calibri" w:hAnsi="Calibri"/>
        </w:rPr>
      </w:pPr>
      <w:bookmarkStart w:id="1" w:name="_Hlk160616952"/>
      <w:r w:rsidRPr="00A35889">
        <w:rPr>
          <w:rFonts w:ascii="Calibri" w:hAnsi="Calibri"/>
        </w:rPr>
        <w:t xml:space="preserve">GNSS systems can be used for navigation in ocean waters </w:t>
      </w:r>
      <w:r>
        <w:rPr>
          <w:rFonts w:ascii="Calibri" w:hAnsi="Calibri"/>
        </w:rPr>
        <w:t>while</w:t>
      </w:r>
      <w:r w:rsidRPr="00A35889">
        <w:rPr>
          <w:rFonts w:ascii="Calibri" w:hAnsi="Calibri"/>
        </w:rPr>
        <w:t xml:space="preserve"> augmentation systems aim at supporting phases of navigation more stringent than ocean waters. </w:t>
      </w:r>
      <w:r>
        <w:rPr>
          <w:rFonts w:ascii="Calibri" w:hAnsi="Calibri"/>
        </w:rPr>
        <w:t>The suggested i</w:t>
      </w:r>
      <w:r w:rsidRPr="00A35889">
        <w:rPr>
          <w:rFonts w:ascii="Calibri" w:hAnsi="Calibri"/>
        </w:rPr>
        <w:t>nput paper could refer to the operational requirements that should be met by an augmentation system for navigation in harbour entrances/approaches and co</w:t>
      </w:r>
      <w:r w:rsidR="007642C8">
        <w:rPr>
          <w:rFonts w:ascii="Calibri" w:hAnsi="Calibri"/>
        </w:rPr>
        <w:t>a</w:t>
      </w:r>
      <w:r w:rsidRPr="00A35889">
        <w:rPr>
          <w:rFonts w:ascii="Calibri" w:hAnsi="Calibri"/>
        </w:rPr>
        <w:t>stal waters, as set out in IMO Resolution A.1046(27) and even for sole selected navigation phases or operations as described in IMO Resolution A.915</w:t>
      </w:r>
      <w:r>
        <w:rPr>
          <w:rFonts w:ascii="Calibri" w:hAnsi="Calibri"/>
        </w:rPr>
        <w:t>(22)</w:t>
      </w:r>
      <w:r w:rsidRPr="00A35889">
        <w:rPr>
          <w:rFonts w:ascii="Calibri" w:hAnsi="Calibri"/>
        </w:rPr>
        <w:t xml:space="preserve">. Operational requirements could include accuracy, integrity, availability, </w:t>
      </w:r>
      <w:proofErr w:type="gramStart"/>
      <w:r w:rsidRPr="00A35889">
        <w:rPr>
          <w:rFonts w:ascii="Calibri" w:hAnsi="Calibri"/>
        </w:rPr>
        <w:t>continuity</w:t>
      </w:r>
      <w:proofErr w:type="gramEnd"/>
      <w:r w:rsidRPr="00A35889">
        <w:rPr>
          <w:rFonts w:ascii="Calibri" w:hAnsi="Calibri"/>
        </w:rPr>
        <w:t xml:space="preserve"> and coverage as stated in both resolutions.</w:t>
      </w:r>
    </w:p>
    <w:bookmarkEnd w:id="1"/>
    <w:p w14:paraId="12D30A58" w14:textId="77777777" w:rsidR="007774D7" w:rsidRDefault="007774D7" w:rsidP="007774D7">
      <w:pPr>
        <w:pStyle w:val="BodyText"/>
        <w:rPr>
          <w:rFonts w:ascii="Calibri" w:hAnsi="Calibri"/>
        </w:rPr>
      </w:pPr>
      <w:r>
        <w:rPr>
          <w:rFonts w:ascii="Calibri" w:hAnsi="Calibri"/>
        </w:rPr>
        <w:t>Given IALA’s status as an observer within the IMO, consideration should also be given to seeking co</w:t>
      </w:r>
      <w:r>
        <w:rPr>
          <w:rFonts w:ascii="Calibri" w:hAnsi="Calibri"/>
        </w:rPr>
        <w:noBreakHyphen/>
        <w:t xml:space="preserve">sponsorship of the paper by an IMO member state. </w:t>
      </w:r>
    </w:p>
    <w:p w14:paraId="0F0FFFEC" w14:textId="2EB22209" w:rsidR="00250052" w:rsidRDefault="00250052" w:rsidP="007774D7">
      <w:pPr>
        <w:pStyle w:val="BodyText"/>
        <w:rPr>
          <w:rFonts w:ascii="Calibri" w:hAnsi="Calibri"/>
        </w:rPr>
      </w:pPr>
      <w:r>
        <w:rPr>
          <w:rFonts w:ascii="Calibri" w:hAnsi="Calibri"/>
        </w:rPr>
        <w:t xml:space="preserve">The following topics are proposed as a base </w:t>
      </w:r>
      <w:r w:rsidR="00D55DA2">
        <w:rPr>
          <w:rFonts w:ascii="Calibri" w:hAnsi="Calibri"/>
        </w:rPr>
        <w:t>to work in this input paper for IMO:</w:t>
      </w:r>
    </w:p>
    <w:p w14:paraId="38FFA717" w14:textId="77777777" w:rsidR="00250052" w:rsidRDefault="00250052" w:rsidP="007774D7">
      <w:pPr>
        <w:pStyle w:val="BodyText"/>
        <w:rPr>
          <w:rFonts w:ascii="Calibri" w:hAnsi="Calibri"/>
        </w:rPr>
      </w:pPr>
    </w:p>
    <w:p w14:paraId="5D9FE322" w14:textId="04997C0B" w:rsidR="007774D7" w:rsidRDefault="00913AA4" w:rsidP="007774D7">
      <w:pPr>
        <w:pStyle w:val="Heading2"/>
      </w:pPr>
      <w:r>
        <w:t>Navigation Requirements</w:t>
      </w:r>
      <w:r w:rsidR="007774D7">
        <w:t>.</w:t>
      </w:r>
    </w:p>
    <w:p w14:paraId="3A1C611B" w14:textId="22DB7547" w:rsidR="0028746F" w:rsidRDefault="0028746F" w:rsidP="0028746F">
      <w:pPr>
        <w:pStyle w:val="Bullet1"/>
        <w:tabs>
          <w:tab w:val="clear" w:pos="720"/>
        </w:tabs>
        <w:ind w:left="1134" w:hanging="567"/>
        <w:rPr>
          <w:rFonts w:ascii="Calibri" w:hAnsi="Calibri"/>
        </w:rPr>
      </w:pPr>
      <w:r w:rsidRPr="00467617">
        <w:rPr>
          <w:rFonts w:ascii="Calibri" w:hAnsi="Calibri"/>
        </w:rPr>
        <w:t>Resolution A.1046 (27)</w:t>
      </w:r>
      <w:r>
        <w:rPr>
          <w:rFonts w:ascii="Calibri" w:hAnsi="Calibri"/>
        </w:rPr>
        <w:t xml:space="preserve"> describes</w:t>
      </w:r>
      <w:r w:rsidRPr="00467617">
        <w:rPr>
          <w:rFonts w:ascii="Calibri" w:hAnsi="Calibri"/>
        </w:rPr>
        <w:t xml:space="preserve"> the operational requirements for a worldwide radionavigation system</w:t>
      </w:r>
      <w:r w:rsidR="0005525B">
        <w:rPr>
          <w:rFonts w:ascii="Calibri" w:hAnsi="Calibri"/>
        </w:rPr>
        <w:t xml:space="preserve"> in terms of accuracy, availability, update rate and integrity</w:t>
      </w:r>
      <w:r w:rsidRPr="00467617">
        <w:rPr>
          <w:rFonts w:ascii="Calibri" w:hAnsi="Calibri"/>
        </w:rPr>
        <w:t xml:space="preserve">. </w:t>
      </w:r>
      <w:r>
        <w:rPr>
          <w:rFonts w:ascii="Calibri" w:hAnsi="Calibri"/>
        </w:rPr>
        <w:t>In this regard, this resolution remarks that the requirements may be met by individual radionavigation systems or by a combination of such systems</w:t>
      </w:r>
      <w:r w:rsidR="008442F1">
        <w:rPr>
          <w:rFonts w:ascii="Calibri" w:hAnsi="Calibri"/>
        </w:rPr>
        <w:fldChar w:fldCharType="begin"/>
      </w:r>
      <w:r w:rsidR="008442F1">
        <w:rPr>
          <w:rFonts w:ascii="Calibri" w:hAnsi="Calibri"/>
        </w:rPr>
        <w:instrText xml:space="preserve"> REF _Ref160205876 \r \h </w:instrText>
      </w:r>
      <w:r w:rsidR="008442F1">
        <w:rPr>
          <w:rFonts w:ascii="Calibri" w:hAnsi="Calibri"/>
        </w:rPr>
      </w:r>
      <w:r w:rsidR="008442F1">
        <w:rPr>
          <w:rFonts w:ascii="Calibri" w:hAnsi="Calibri"/>
        </w:rPr>
        <w:fldChar w:fldCharType="separate"/>
      </w:r>
      <w:r w:rsidR="00FD6FEA">
        <w:rPr>
          <w:rFonts w:ascii="Calibri" w:hAnsi="Calibri"/>
        </w:rPr>
        <w:t>[3]</w:t>
      </w:r>
      <w:r w:rsidR="008442F1">
        <w:rPr>
          <w:rFonts w:ascii="Calibri" w:hAnsi="Calibri"/>
        </w:rPr>
        <w:fldChar w:fldCharType="end"/>
      </w:r>
      <w:r>
        <w:rPr>
          <w:rFonts w:ascii="Calibri" w:hAnsi="Calibri"/>
        </w:rPr>
        <w:t xml:space="preserve">. </w:t>
      </w:r>
      <w:r w:rsidRPr="00467617">
        <w:rPr>
          <w:rFonts w:ascii="Calibri" w:hAnsi="Calibri"/>
        </w:rPr>
        <w:t xml:space="preserve">The resolution is now </w:t>
      </w:r>
      <w:r>
        <w:rPr>
          <w:rFonts w:ascii="Calibri" w:hAnsi="Calibri"/>
        </w:rPr>
        <w:t xml:space="preserve">more than </w:t>
      </w:r>
      <w:r w:rsidRPr="00467617">
        <w:rPr>
          <w:rFonts w:ascii="Calibri" w:hAnsi="Calibri"/>
        </w:rPr>
        <w:t>a decade-</w:t>
      </w:r>
      <w:proofErr w:type="gramStart"/>
      <w:r w:rsidRPr="00467617">
        <w:rPr>
          <w:rFonts w:ascii="Calibri" w:hAnsi="Calibri"/>
        </w:rPr>
        <w:t>old</w:t>
      </w:r>
      <w:r>
        <w:rPr>
          <w:rFonts w:ascii="Calibri" w:hAnsi="Calibri"/>
        </w:rPr>
        <w:t>;</w:t>
      </w:r>
      <w:proofErr w:type="gramEnd"/>
    </w:p>
    <w:p w14:paraId="6DC6286A" w14:textId="25AF5EF6" w:rsidR="0028746F" w:rsidRDefault="0028746F" w:rsidP="0028746F">
      <w:pPr>
        <w:pStyle w:val="Bullet1"/>
        <w:tabs>
          <w:tab w:val="clear" w:pos="720"/>
        </w:tabs>
        <w:ind w:left="1134" w:hanging="567"/>
        <w:rPr>
          <w:rFonts w:ascii="Calibri" w:hAnsi="Calibri"/>
        </w:rPr>
      </w:pPr>
      <w:r w:rsidRPr="00467617">
        <w:rPr>
          <w:rFonts w:ascii="Calibri" w:hAnsi="Calibri"/>
        </w:rPr>
        <w:t>Resolution A.915 (22)</w:t>
      </w:r>
      <w:r>
        <w:rPr>
          <w:rFonts w:ascii="Calibri" w:hAnsi="Calibri"/>
        </w:rPr>
        <w:t xml:space="preserve"> (now two decades-old) reflects on the need of augmentation systems:</w:t>
      </w:r>
    </w:p>
    <w:p w14:paraId="66096204" w14:textId="77777777" w:rsidR="0028746F" w:rsidRDefault="0028746F" w:rsidP="0028746F">
      <w:pPr>
        <w:pStyle w:val="Bullet1"/>
        <w:numPr>
          <w:ilvl w:val="1"/>
          <w:numId w:val="7"/>
        </w:numPr>
        <w:rPr>
          <w:rFonts w:ascii="Calibri" w:hAnsi="Calibri"/>
        </w:rPr>
      </w:pPr>
      <w:r>
        <w:rPr>
          <w:rFonts w:ascii="Calibri" w:hAnsi="Calibri"/>
        </w:rPr>
        <w:t>W</w:t>
      </w:r>
      <w:r w:rsidRPr="00467617">
        <w:rPr>
          <w:rFonts w:ascii="Calibri" w:hAnsi="Calibri"/>
        </w:rPr>
        <w:t xml:space="preserve">ithout augmentation, GNSS </w:t>
      </w:r>
      <w:r>
        <w:rPr>
          <w:rFonts w:ascii="Calibri" w:hAnsi="Calibri"/>
        </w:rPr>
        <w:t>standalone navigation solution</w:t>
      </w:r>
      <w:r w:rsidRPr="00467617">
        <w:rPr>
          <w:rFonts w:ascii="Calibri" w:hAnsi="Calibri"/>
        </w:rPr>
        <w:t xml:space="preserve"> does not meet the </w:t>
      </w:r>
      <w:r>
        <w:rPr>
          <w:rFonts w:ascii="Calibri" w:hAnsi="Calibri"/>
        </w:rPr>
        <w:t xml:space="preserve">accuracy </w:t>
      </w:r>
      <w:r w:rsidRPr="00467617">
        <w:rPr>
          <w:rFonts w:ascii="Calibri" w:hAnsi="Calibri"/>
        </w:rPr>
        <w:t>requirements for navigation in harbour entrances and approaches or restricted waters</w:t>
      </w:r>
      <w:r>
        <w:rPr>
          <w:rFonts w:ascii="Calibri" w:hAnsi="Calibri"/>
        </w:rPr>
        <w:t>.</w:t>
      </w:r>
    </w:p>
    <w:p w14:paraId="110228DE" w14:textId="77777777" w:rsidR="0028746F" w:rsidRDefault="0028746F" w:rsidP="0028746F">
      <w:pPr>
        <w:pStyle w:val="Bullet1"/>
        <w:numPr>
          <w:ilvl w:val="1"/>
          <w:numId w:val="7"/>
        </w:numPr>
        <w:rPr>
          <w:rFonts w:ascii="Calibri" w:hAnsi="Calibri"/>
        </w:rPr>
      </w:pPr>
      <w:r>
        <w:rPr>
          <w:rFonts w:ascii="Calibri" w:hAnsi="Calibri"/>
        </w:rPr>
        <w:t>GNSS</w:t>
      </w:r>
      <w:r w:rsidRPr="00467617">
        <w:rPr>
          <w:rFonts w:ascii="Calibri" w:hAnsi="Calibri"/>
        </w:rPr>
        <w:t xml:space="preserve"> does not provide instantaneous warning of system </w:t>
      </w:r>
      <w:proofErr w:type="gramStart"/>
      <w:r w:rsidRPr="00467617">
        <w:rPr>
          <w:rFonts w:ascii="Calibri" w:hAnsi="Calibri"/>
        </w:rPr>
        <w:t>malfunction</w:t>
      </w:r>
      <w:r>
        <w:rPr>
          <w:rFonts w:ascii="Calibri" w:hAnsi="Calibri"/>
        </w:rPr>
        <w:t>;</w:t>
      </w:r>
      <w:proofErr w:type="gramEnd"/>
    </w:p>
    <w:p w14:paraId="1AE69854" w14:textId="77777777" w:rsidR="0028746F" w:rsidRDefault="0028746F" w:rsidP="0028746F">
      <w:pPr>
        <w:pStyle w:val="Bullet1"/>
        <w:numPr>
          <w:ilvl w:val="1"/>
          <w:numId w:val="7"/>
        </w:numPr>
        <w:rPr>
          <w:rFonts w:ascii="Calibri" w:hAnsi="Calibri"/>
        </w:rPr>
      </w:pPr>
      <w:r>
        <w:rPr>
          <w:rFonts w:ascii="Calibri" w:hAnsi="Calibri"/>
        </w:rPr>
        <w:t>a</w:t>
      </w:r>
      <w:r w:rsidRPr="00467617">
        <w:rPr>
          <w:rFonts w:ascii="Calibri" w:hAnsi="Calibri"/>
        </w:rPr>
        <w:t>ugmentation provisions should be harmonised worldwide to avoid the necessity of carrying more than one shipborne receiver or other devices</w:t>
      </w:r>
      <w:r>
        <w:rPr>
          <w:rFonts w:ascii="Calibri" w:hAnsi="Calibri"/>
        </w:rPr>
        <w:t>.</w:t>
      </w:r>
    </w:p>
    <w:p w14:paraId="1B6E9387" w14:textId="02D19467" w:rsidR="0028746F" w:rsidRDefault="0028746F" w:rsidP="0005525B">
      <w:pPr>
        <w:pStyle w:val="Bullet1"/>
        <w:numPr>
          <w:ilvl w:val="1"/>
          <w:numId w:val="7"/>
        </w:numPr>
        <w:rPr>
          <w:rFonts w:ascii="Calibri" w:hAnsi="Calibri"/>
        </w:rPr>
      </w:pPr>
      <w:r w:rsidRPr="0005525B">
        <w:rPr>
          <w:rFonts w:ascii="Calibri" w:hAnsi="Calibri"/>
        </w:rPr>
        <w:t>Integrity at user level can be provided by Augmentation Systems</w:t>
      </w:r>
      <w:r w:rsidR="0005525B" w:rsidRPr="0005525B">
        <w:rPr>
          <w:rFonts w:ascii="Calibri" w:hAnsi="Calibri"/>
        </w:rPr>
        <w:t xml:space="preserve"> or by autonomous integrity monitoring using redundant observations from either GNSS or other (radio) navigation systems, or both</w:t>
      </w:r>
      <w:r w:rsidR="0005525B">
        <w:rPr>
          <w:rFonts w:ascii="Calibri" w:hAnsi="Calibri"/>
        </w:rPr>
        <w:t>.</w:t>
      </w:r>
    </w:p>
    <w:p w14:paraId="708D2912" w14:textId="0DC3444B" w:rsidR="00141B55" w:rsidRDefault="00141B55" w:rsidP="0005525B">
      <w:pPr>
        <w:pStyle w:val="Bullet1"/>
        <w:numPr>
          <w:ilvl w:val="1"/>
          <w:numId w:val="7"/>
        </w:numPr>
        <w:rPr>
          <w:rFonts w:ascii="Calibri" w:hAnsi="Calibri"/>
        </w:rPr>
      </w:pPr>
      <w:r>
        <w:rPr>
          <w:rFonts w:ascii="Calibri" w:hAnsi="Calibri"/>
        </w:rPr>
        <w:t>External integrity monitoring can be provided by augmentation systems, using external stations.</w:t>
      </w:r>
    </w:p>
    <w:p w14:paraId="03B45C8B" w14:textId="0E1CC4E7" w:rsidR="0005525B" w:rsidRPr="0005525B" w:rsidRDefault="0005525B" w:rsidP="0005525B">
      <w:pPr>
        <w:pStyle w:val="Bullet1"/>
        <w:numPr>
          <w:ilvl w:val="1"/>
          <w:numId w:val="7"/>
        </w:numPr>
        <w:rPr>
          <w:rFonts w:ascii="Calibri" w:hAnsi="Calibri"/>
        </w:rPr>
      </w:pPr>
      <w:r>
        <w:rPr>
          <w:rFonts w:ascii="Calibri" w:hAnsi="Calibri"/>
        </w:rPr>
        <w:t>Integrity is introduced considering additional concepts</w:t>
      </w:r>
      <w:r w:rsidR="00141B55">
        <w:rPr>
          <w:rFonts w:ascii="Calibri" w:hAnsi="Calibri"/>
        </w:rPr>
        <w:t xml:space="preserve"> (</w:t>
      </w:r>
      <w:r>
        <w:rPr>
          <w:rFonts w:ascii="Calibri" w:hAnsi="Calibri"/>
        </w:rPr>
        <w:t>alert limit, time to alarm and Integrity risk</w:t>
      </w:r>
      <w:r w:rsidR="00141B55">
        <w:rPr>
          <w:rFonts w:ascii="Calibri" w:hAnsi="Calibri"/>
        </w:rPr>
        <w:t>) that are compatible with augmentation systems.</w:t>
      </w:r>
    </w:p>
    <w:p w14:paraId="7C1E60AE" w14:textId="6D61193B" w:rsidR="0028746F" w:rsidRDefault="0028746F" w:rsidP="0028746F">
      <w:pPr>
        <w:pStyle w:val="Bullet1"/>
        <w:tabs>
          <w:tab w:val="clear" w:pos="720"/>
        </w:tabs>
        <w:ind w:left="1134" w:hanging="567"/>
        <w:rPr>
          <w:rFonts w:ascii="Calibri" w:hAnsi="Calibri"/>
        </w:rPr>
      </w:pPr>
      <w:r w:rsidRPr="00EC28B7">
        <w:rPr>
          <w:rFonts w:ascii="Calibri" w:hAnsi="Calibri"/>
        </w:rPr>
        <w:t xml:space="preserve">It should </w:t>
      </w:r>
      <w:r>
        <w:rPr>
          <w:rFonts w:ascii="Calibri" w:hAnsi="Calibri"/>
        </w:rPr>
        <w:t>consider</w:t>
      </w:r>
      <w:r w:rsidRPr="00EC28B7">
        <w:rPr>
          <w:rFonts w:ascii="Calibri" w:hAnsi="Calibri"/>
        </w:rPr>
        <w:t xml:space="preserve"> the fact that the different augmentation systems already available can meet the requirements of th</w:t>
      </w:r>
      <w:r>
        <w:rPr>
          <w:rFonts w:ascii="Calibri" w:hAnsi="Calibri"/>
        </w:rPr>
        <w:t>e</w:t>
      </w:r>
      <w:r w:rsidRPr="00EC28B7">
        <w:rPr>
          <w:rFonts w:ascii="Calibri" w:hAnsi="Calibri"/>
        </w:rPr>
        <w:t>s</w:t>
      </w:r>
      <w:r>
        <w:rPr>
          <w:rFonts w:ascii="Calibri" w:hAnsi="Calibri"/>
        </w:rPr>
        <w:t>e</w:t>
      </w:r>
      <w:r w:rsidRPr="00EC28B7">
        <w:rPr>
          <w:rFonts w:ascii="Calibri" w:hAnsi="Calibri"/>
        </w:rPr>
        <w:t xml:space="preserve"> old regulations</w:t>
      </w:r>
      <w:r w:rsidR="0005525B">
        <w:rPr>
          <w:rFonts w:ascii="Calibri" w:hAnsi="Calibri"/>
        </w:rPr>
        <w:t xml:space="preserve"> for some navigation phases and positioning operations</w:t>
      </w:r>
      <w:r>
        <w:rPr>
          <w:rFonts w:ascii="Calibri" w:hAnsi="Calibri"/>
        </w:rPr>
        <w:t xml:space="preserve"> (as addressed in IALA guidelines G1112 and G1152</w:t>
      </w:r>
      <w:proofErr w:type="gramStart"/>
      <w:r>
        <w:rPr>
          <w:rFonts w:ascii="Calibri" w:hAnsi="Calibri"/>
        </w:rPr>
        <w:t>);</w:t>
      </w:r>
      <w:proofErr w:type="gramEnd"/>
    </w:p>
    <w:p w14:paraId="346FEDB8" w14:textId="2C96866A" w:rsidR="0028746F" w:rsidRDefault="0028746F" w:rsidP="0028746F">
      <w:pPr>
        <w:pStyle w:val="Bullet1"/>
        <w:tabs>
          <w:tab w:val="clear" w:pos="720"/>
        </w:tabs>
        <w:ind w:left="1134" w:hanging="567"/>
        <w:rPr>
          <w:rFonts w:ascii="Calibri" w:hAnsi="Calibri"/>
        </w:rPr>
      </w:pPr>
      <w:r>
        <w:rPr>
          <w:rFonts w:ascii="Calibri" w:hAnsi="Calibri"/>
        </w:rPr>
        <w:t>As indicated in IALA guidelines (G1112), in case of using augmentation in combination with other systems there could be a relaxation in the required performance parameters.</w:t>
      </w:r>
    </w:p>
    <w:p w14:paraId="0607BC21" w14:textId="77777777" w:rsidR="000F6B52" w:rsidRPr="00EC28B7" w:rsidRDefault="000F6B52" w:rsidP="000F6B52">
      <w:pPr>
        <w:pStyle w:val="Bullet1"/>
        <w:numPr>
          <w:ilvl w:val="0"/>
          <w:numId w:val="0"/>
        </w:numPr>
        <w:rPr>
          <w:rFonts w:ascii="Calibri" w:hAnsi="Calibri"/>
        </w:rPr>
      </w:pPr>
    </w:p>
    <w:p w14:paraId="7B662754" w14:textId="059CC58F" w:rsidR="00EC28B7" w:rsidRDefault="00EC28B7" w:rsidP="00EC28B7">
      <w:pPr>
        <w:pStyle w:val="Heading2"/>
      </w:pPr>
      <w:r>
        <w:lastRenderedPageBreak/>
        <w:t>Receiver standards.</w:t>
      </w:r>
    </w:p>
    <w:p w14:paraId="217B166F" w14:textId="15E1F265" w:rsidR="0028746F" w:rsidRDefault="0028746F" w:rsidP="0028746F">
      <w:pPr>
        <w:pStyle w:val="Bullet1"/>
        <w:tabs>
          <w:tab w:val="clear" w:pos="720"/>
        </w:tabs>
        <w:ind w:left="1134" w:hanging="567"/>
        <w:rPr>
          <w:rFonts w:ascii="Calibri" w:hAnsi="Calibri"/>
        </w:rPr>
      </w:pPr>
      <w:r>
        <w:rPr>
          <w:rFonts w:ascii="Calibri" w:hAnsi="Calibri"/>
        </w:rPr>
        <w:t>The performance standards of receiver equipment are recommended to be not inferior to those stated in the</w:t>
      </w:r>
      <w:r w:rsidR="00EE49DD">
        <w:rPr>
          <w:rFonts w:ascii="Calibri" w:hAnsi="Calibri"/>
        </w:rPr>
        <w:t xml:space="preserve"> performance standards for multi-system shipborne radionavigation </w:t>
      </w:r>
      <w:r w:rsidR="007642C8">
        <w:rPr>
          <w:rFonts w:ascii="Calibri" w:hAnsi="Calibri"/>
        </w:rPr>
        <w:t>receivers MSC</w:t>
      </w:r>
      <w:r>
        <w:rPr>
          <w:rFonts w:ascii="Calibri" w:hAnsi="Calibri"/>
        </w:rPr>
        <w:t xml:space="preserve">401(95) (this topic is discussed in IALA G1129 section 3.1). </w:t>
      </w:r>
      <w:r w:rsidR="00EE49DD">
        <w:rPr>
          <w:rFonts w:ascii="Calibri" w:hAnsi="Calibri"/>
        </w:rPr>
        <w:t xml:space="preserve">However, those requirements should be reviewed to ensure that the augmentation systems are able to meet them. Stringent requirements (i.e., position acquisition) may use as reference the </w:t>
      </w:r>
      <w:r w:rsidR="00357420">
        <w:rPr>
          <w:rFonts w:ascii="Calibri" w:hAnsi="Calibri"/>
        </w:rPr>
        <w:t xml:space="preserve">performance standards for shipborne GPS receiver equipment </w:t>
      </w:r>
      <w:r w:rsidR="00EE49DD">
        <w:rPr>
          <w:rFonts w:ascii="Calibri" w:hAnsi="Calibri"/>
        </w:rPr>
        <w:t>MSC.112(73)</w:t>
      </w:r>
      <w:r w:rsidR="00357420">
        <w:rPr>
          <w:rFonts w:ascii="Calibri" w:hAnsi="Calibri"/>
        </w:rPr>
        <w:t>.</w:t>
      </w:r>
      <w:r w:rsidR="00EE49DD">
        <w:rPr>
          <w:rFonts w:ascii="Calibri" w:hAnsi="Calibri"/>
        </w:rPr>
        <w:t xml:space="preserve"> </w:t>
      </w:r>
      <w:r>
        <w:rPr>
          <w:rFonts w:ascii="Calibri" w:hAnsi="Calibri"/>
        </w:rPr>
        <w:t xml:space="preserve">Regarding this topic, guideline G1152 (in section 5.1) also mentions that the regulatory status of any receivers needed should be </w:t>
      </w:r>
      <w:proofErr w:type="gramStart"/>
      <w:r>
        <w:rPr>
          <w:rFonts w:ascii="Calibri" w:hAnsi="Calibri"/>
        </w:rPr>
        <w:t>considered;</w:t>
      </w:r>
      <w:proofErr w:type="gramEnd"/>
    </w:p>
    <w:p w14:paraId="0A18596C" w14:textId="3B20DBDF" w:rsidR="0028746F" w:rsidRDefault="0028746F" w:rsidP="0028746F">
      <w:pPr>
        <w:pStyle w:val="Bullet1"/>
        <w:tabs>
          <w:tab w:val="clear" w:pos="720"/>
        </w:tabs>
        <w:ind w:left="1134" w:hanging="567"/>
        <w:rPr>
          <w:rFonts w:ascii="Calibri" w:hAnsi="Calibri"/>
        </w:rPr>
      </w:pPr>
      <w:r>
        <w:rPr>
          <w:rFonts w:ascii="Calibri" w:hAnsi="Calibri"/>
        </w:rPr>
        <w:t xml:space="preserve">In accordance with SOLAS in its Chapter V, it is required for the navigational systems and equipment a type-approved receiver conformed to appropriate performance standards </w:t>
      </w:r>
      <w:r w:rsidRPr="00D7322A">
        <w:rPr>
          <w:rFonts w:ascii="Calibri" w:hAnsi="Calibri"/>
        </w:rPr>
        <w:t>not inferior to those adopted by the Organization</w:t>
      </w:r>
      <w:r>
        <w:rPr>
          <w:rFonts w:ascii="Calibri" w:hAnsi="Calibri"/>
        </w:rPr>
        <w:t>.</w:t>
      </w:r>
    </w:p>
    <w:p w14:paraId="240A49D0" w14:textId="77777777" w:rsidR="00F92491" w:rsidRPr="00EC28B7" w:rsidRDefault="00F92491" w:rsidP="000F6B52">
      <w:pPr>
        <w:pStyle w:val="Bullet1"/>
        <w:numPr>
          <w:ilvl w:val="0"/>
          <w:numId w:val="0"/>
        </w:numPr>
        <w:rPr>
          <w:rFonts w:ascii="Calibri" w:hAnsi="Calibri"/>
        </w:rPr>
      </w:pPr>
    </w:p>
    <w:p w14:paraId="716E48BF" w14:textId="723FCD0D" w:rsidR="000F6B52" w:rsidRDefault="000F6B52" w:rsidP="000F6B52">
      <w:pPr>
        <w:pStyle w:val="Heading2"/>
      </w:pPr>
      <w:r>
        <w:t>Other topics.</w:t>
      </w:r>
    </w:p>
    <w:p w14:paraId="1F9533BB" w14:textId="0340DD06" w:rsidR="00467617" w:rsidRDefault="00CD5713" w:rsidP="00CD5713">
      <w:pPr>
        <w:pStyle w:val="Bullet1"/>
        <w:tabs>
          <w:tab w:val="clear" w:pos="720"/>
        </w:tabs>
        <w:ind w:left="1134" w:hanging="567"/>
        <w:rPr>
          <w:rFonts w:ascii="Calibri" w:hAnsi="Calibri"/>
        </w:rPr>
      </w:pPr>
      <w:r>
        <w:rPr>
          <w:rFonts w:ascii="Calibri" w:hAnsi="Calibri"/>
        </w:rPr>
        <w:t>The</w:t>
      </w:r>
      <w:r w:rsidRPr="00CD5713">
        <w:rPr>
          <w:rFonts w:ascii="Calibri" w:hAnsi="Calibri"/>
        </w:rPr>
        <w:t xml:space="preserve"> radionavigation system should be resilient and </w:t>
      </w:r>
      <w:r w:rsidR="007642C8" w:rsidRPr="00CD5713">
        <w:rPr>
          <w:rFonts w:ascii="Calibri" w:hAnsi="Calibri"/>
        </w:rPr>
        <w:t>consider</w:t>
      </w:r>
      <w:r w:rsidRPr="00CD5713">
        <w:rPr>
          <w:rFonts w:ascii="Calibri" w:hAnsi="Calibri"/>
        </w:rPr>
        <w:t xml:space="preserve"> </w:t>
      </w:r>
      <w:r w:rsidR="00357420">
        <w:rPr>
          <w:rFonts w:ascii="Calibri" w:hAnsi="Calibri"/>
        </w:rPr>
        <w:t>quality monitoring requirements</w:t>
      </w:r>
      <w:r w:rsidR="00357420" w:rsidRPr="00CD5713">
        <w:rPr>
          <w:rFonts w:ascii="Calibri" w:hAnsi="Calibri"/>
        </w:rPr>
        <w:t xml:space="preserve"> </w:t>
      </w:r>
      <w:r w:rsidRPr="00CD5713">
        <w:rPr>
          <w:rFonts w:ascii="Calibri" w:hAnsi="Calibri"/>
        </w:rPr>
        <w:t xml:space="preserve">of data validity, </w:t>
      </w:r>
      <w:r w:rsidR="007642C8" w:rsidRPr="00CD5713">
        <w:rPr>
          <w:rFonts w:ascii="Calibri" w:hAnsi="Calibri"/>
        </w:rPr>
        <w:t>plausibility,</w:t>
      </w:r>
      <w:r w:rsidRPr="00CD5713">
        <w:rPr>
          <w:rFonts w:ascii="Calibri" w:hAnsi="Calibri"/>
        </w:rPr>
        <w:t xml:space="preserve"> and integrity for the system to be robust, </w:t>
      </w:r>
      <w:proofErr w:type="gramStart"/>
      <w:r w:rsidRPr="00CD5713">
        <w:rPr>
          <w:rFonts w:ascii="Calibri" w:hAnsi="Calibri"/>
        </w:rPr>
        <w:t>reliable</w:t>
      </w:r>
      <w:proofErr w:type="gramEnd"/>
      <w:r w:rsidRPr="00CD5713">
        <w:rPr>
          <w:rFonts w:ascii="Calibri" w:hAnsi="Calibri"/>
        </w:rPr>
        <w:t xml:space="preserve"> and dependable. Requirements for redundancy, particularly in relation to position fixing systems, should be considered.</w:t>
      </w:r>
      <w:r>
        <w:rPr>
          <w:rFonts w:ascii="Calibri" w:hAnsi="Calibri"/>
        </w:rPr>
        <w:t xml:space="preserve"> (IALA G1180 and </w:t>
      </w:r>
      <w:r w:rsidRPr="00CD5713">
        <w:rPr>
          <w:rFonts w:ascii="Calibri" w:hAnsi="Calibri"/>
        </w:rPr>
        <w:t>IMO. (2008) MSC 85/26/Add.1, Annex 20, Strategy for the Development and Implementation of e-Navigation</w:t>
      </w:r>
      <w:proofErr w:type="gramStart"/>
      <w:r>
        <w:rPr>
          <w:rFonts w:ascii="Calibri" w:hAnsi="Calibri"/>
        </w:rPr>
        <w:t>)</w:t>
      </w:r>
      <w:r w:rsidR="00CA75B7">
        <w:rPr>
          <w:rFonts w:ascii="Calibri" w:hAnsi="Calibri"/>
        </w:rPr>
        <w:t>;</w:t>
      </w:r>
      <w:proofErr w:type="gramEnd"/>
    </w:p>
    <w:p w14:paraId="5734AA52" w14:textId="49DA015A" w:rsidR="00CA75B7" w:rsidRDefault="007921F9" w:rsidP="00CD5713">
      <w:pPr>
        <w:pStyle w:val="Bullet1"/>
        <w:tabs>
          <w:tab w:val="clear" w:pos="720"/>
        </w:tabs>
        <w:ind w:left="1134" w:hanging="567"/>
        <w:rPr>
          <w:rFonts w:ascii="Calibri" w:hAnsi="Calibri"/>
        </w:rPr>
      </w:pPr>
      <w:r>
        <w:rPr>
          <w:rFonts w:ascii="Calibri" w:hAnsi="Calibri"/>
        </w:rPr>
        <w:t>A</w:t>
      </w:r>
      <w:r w:rsidR="00CA75B7" w:rsidRPr="0049645C">
        <w:rPr>
          <w:rFonts w:ascii="Calibri" w:hAnsi="Calibri"/>
        </w:rPr>
        <w:t>ugmentation systems could be used in combination if needed to achieve better performances</w:t>
      </w:r>
      <w:r w:rsidR="00CA75B7">
        <w:rPr>
          <w:rFonts w:ascii="Calibri" w:hAnsi="Calibri"/>
        </w:rPr>
        <w:t>,</w:t>
      </w:r>
      <w:r w:rsidR="00CA75B7" w:rsidRPr="0049645C">
        <w:rPr>
          <w:rFonts w:ascii="Calibri" w:hAnsi="Calibri"/>
        </w:rPr>
        <w:t xml:space="preserve"> results,</w:t>
      </w:r>
      <w:r w:rsidR="00CA75B7">
        <w:rPr>
          <w:rFonts w:ascii="Calibri" w:hAnsi="Calibri"/>
        </w:rPr>
        <w:t xml:space="preserve"> and increased </w:t>
      </w:r>
      <w:proofErr w:type="gramStart"/>
      <w:r w:rsidR="00CA75B7">
        <w:rPr>
          <w:rFonts w:ascii="Calibri" w:hAnsi="Calibri"/>
        </w:rPr>
        <w:t>robustness</w:t>
      </w:r>
      <w:r w:rsidR="00784B12">
        <w:rPr>
          <w:rFonts w:ascii="Calibri" w:hAnsi="Calibri"/>
        </w:rPr>
        <w:t>;</w:t>
      </w:r>
      <w:proofErr w:type="gramEnd"/>
    </w:p>
    <w:p w14:paraId="7A803AB0" w14:textId="2A48C885" w:rsidR="00163237" w:rsidRPr="00B2218C" w:rsidRDefault="00784B12" w:rsidP="00B2218C">
      <w:pPr>
        <w:pStyle w:val="Bullet1"/>
        <w:tabs>
          <w:tab w:val="clear" w:pos="720"/>
        </w:tabs>
        <w:ind w:left="1134" w:hanging="567"/>
        <w:rPr>
          <w:rFonts w:ascii="Calibri" w:hAnsi="Calibri"/>
        </w:rPr>
      </w:pPr>
      <w:r w:rsidRPr="00B2218C">
        <w:rPr>
          <w:rFonts w:ascii="Calibri" w:hAnsi="Calibri"/>
        </w:rPr>
        <w:t xml:space="preserve">Resolution </w:t>
      </w:r>
      <w:r w:rsidR="00F92491" w:rsidRPr="00B2218C">
        <w:rPr>
          <w:rFonts w:ascii="Calibri" w:hAnsi="Calibri"/>
        </w:rPr>
        <w:t xml:space="preserve">A1046(27) </w:t>
      </w:r>
      <w:r w:rsidR="00573160" w:rsidRPr="00B2218C">
        <w:rPr>
          <w:rFonts w:ascii="Calibri" w:hAnsi="Calibri"/>
        </w:rPr>
        <w:t xml:space="preserve">defines the list of service parameters </w:t>
      </w:r>
      <w:r w:rsidRPr="00B2218C">
        <w:rPr>
          <w:rFonts w:ascii="Calibri" w:hAnsi="Calibri"/>
        </w:rPr>
        <w:t>required for a complete characterisation</w:t>
      </w:r>
      <w:r w:rsidR="00B2218C" w:rsidRPr="00B2218C">
        <w:rPr>
          <w:rFonts w:ascii="Calibri" w:hAnsi="Calibri"/>
        </w:rPr>
        <w:t xml:space="preserve">. It also requires a Maritime Safety Information (MSI) is promulged. Regarding augmentation systems, this topic </w:t>
      </w:r>
      <w:r w:rsidR="00B2218C">
        <w:rPr>
          <w:rFonts w:ascii="Calibri" w:hAnsi="Calibri"/>
        </w:rPr>
        <w:t>has been</w:t>
      </w:r>
      <w:r w:rsidR="00B2218C" w:rsidRPr="00B2218C">
        <w:rPr>
          <w:rFonts w:ascii="Calibri" w:hAnsi="Calibri"/>
        </w:rPr>
        <w:t xml:space="preserve"> discussed in </w:t>
      </w:r>
      <w:r w:rsidR="00E9407A">
        <w:rPr>
          <w:rFonts w:ascii="Calibri" w:hAnsi="Calibri"/>
        </w:rPr>
        <w:t xml:space="preserve">2021 in the </w:t>
      </w:r>
      <w:r w:rsidR="00B2218C">
        <w:rPr>
          <w:rFonts w:ascii="Calibri" w:hAnsi="Calibri"/>
        </w:rPr>
        <w:t xml:space="preserve">IHO sub-committee on the </w:t>
      </w:r>
      <w:proofErr w:type="gramStart"/>
      <w:r w:rsidR="00B2218C">
        <w:rPr>
          <w:rFonts w:ascii="Calibri" w:hAnsi="Calibri"/>
        </w:rPr>
        <w:t>World Wide</w:t>
      </w:r>
      <w:proofErr w:type="gramEnd"/>
      <w:r w:rsidR="00B2218C">
        <w:rPr>
          <w:rFonts w:ascii="Calibri" w:hAnsi="Calibri"/>
        </w:rPr>
        <w:t xml:space="preserve"> Navigation Warning Service </w:t>
      </w:r>
      <w:r w:rsidR="00B2218C" w:rsidRPr="00B2218C">
        <w:rPr>
          <w:rFonts w:ascii="Calibri" w:hAnsi="Calibri"/>
        </w:rPr>
        <w:t>(WWNWS13</w:t>
      </w:r>
      <w:r w:rsidR="00EC693D">
        <w:rPr>
          <w:rFonts w:ascii="Calibri" w:hAnsi="Calibri"/>
        </w:rPr>
        <w:t xml:space="preserve"> </w:t>
      </w:r>
      <w:r w:rsidR="00E9407A">
        <w:rPr>
          <w:rFonts w:ascii="Calibri" w:hAnsi="Calibri"/>
        </w:rPr>
        <w:t>section</w:t>
      </w:r>
      <w:r w:rsidR="00EC693D">
        <w:rPr>
          <w:rFonts w:ascii="Calibri" w:hAnsi="Calibri"/>
        </w:rPr>
        <w:t xml:space="preserve"> 3.5.2</w:t>
      </w:r>
      <w:r w:rsidR="00B2218C" w:rsidRPr="00B2218C">
        <w:rPr>
          <w:rFonts w:ascii="Calibri" w:hAnsi="Calibri"/>
        </w:rPr>
        <w:t>)</w:t>
      </w:r>
      <w:r w:rsidR="00B2218C">
        <w:rPr>
          <w:rFonts w:ascii="Calibri" w:hAnsi="Calibri"/>
        </w:rPr>
        <w:t>;</w:t>
      </w:r>
    </w:p>
    <w:p w14:paraId="60A8E916" w14:textId="01451118" w:rsidR="007921F9" w:rsidRDefault="007921F9" w:rsidP="007921F9">
      <w:pPr>
        <w:pStyle w:val="Bullet1"/>
        <w:tabs>
          <w:tab w:val="clear" w:pos="720"/>
        </w:tabs>
        <w:ind w:left="1134" w:hanging="567"/>
        <w:rPr>
          <w:rFonts w:ascii="Calibri" w:hAnsi="Calibri"/>
        </w:rPr>
      </w:pPr>
      <w:r>
        <w:rPr>
          <w:rFonts w:ascii="Calibri" w:hAnsi="Calibri"/>
        </w:rPr>
        <w:t>IALA Guidelines G1112, G1129 and R1022 recommend to the GNSS augmentation</w:t>
      </w:r>
      <w:r w:rsidRPr="000601B9">
        <w:rPr>
          <w:rFonts w:ascii="Calibri" w:hAnsi="Calibri"/>
        </w:rPr>
        <w:t xml:space="preserve"> service provider</w:t>
      </w:r>
      <w:r>
        <w:rPr>
          <w:rFonts w:ascii="Calibri" w:hAnsi="Calibri"/>
        </w:rPr>
        <w:t xml:space="preserve"> to comply with following operational aspects</w:t>
      </w:r>
      <w:r w:rsidR="007F55F4">
        <w:rPr>
          <w:rFonts w:ascii="Calibri" w:hAnsi="Calibri"/>
        </w:rPr>
        <w:t>:</w:t>
      </w:r>
      <w:r w:rsidRPr="000601B9">
        <w:rPr>
          <w:rFonts w:ascii="Calibri" w:hAnsi="Calibri"/>
        </w:rPr>
        <w:t xml:space="preserve"> </w:t>
      </w:r>
    </w:p>
    <w:p w14:paraId="4B02CA4E" w14:textId="4355A219" w:rsidR="007921F9" w:rsidRDefault="007921F9" w:rsidP="007921F9">
      <w:pPr>
        <w:pStyle w:val="Bullet1"/>
        <w:numPr>
          <w:ilvl w:val="1"/>
          <w:numId w:val="7"/>
        </w:numPr>
        <w:rPr>
          <w:rFonts w:ascii="Calibri" w:hAnsi="Calibri"/>
        </w:rPr>
      </w:pPr>
      <w:r w:rsidRPr="006F72F6">
        <w:rPr>
          <w:rFonts w:ascii="Calibri" w:hAnsi="Calibri"/>
        </w:rPr>
        <w:t>Operation and maintenance</w:t>
      </w:r>
      <w:r>
        <w:rPr>
          <w:rFonts w:ascii="Calibri" w:hAnsi="Calibri"/>
        </w:rPr>
        <w:t xml:space="preserve">, being recommended to the service provider to </w:t>
      </w:r>
      <w:r w:rsidRPr="006F72F6">
        <w:rPr>
          <w:rFonts w:ascii="Calibri" w:hAnsi="Calibri"/>
        </w:rPr>
        <w:t xml:space="preserve">continuously monitor the </w:t>
      </w:r>
      <w:r>
        <w:rPr>
          <w:rFonts w:ascii="Calibri" w:hAnsi="Calibri"/>
        </w:rPr>
        <w:t>service offered and so</w:t>
      </w:r>
      <w:r w:rsidRPr="006F72F6">
        <w:rPr>
          <w:rFonts w:ascii="Calibri" w:hAnsi="Calibri"/>
        </w:rPr>
        <w:t xml:space="preserve"> to detect </w:t>
      </w:r>
      <w:r>
        <w:rPr>
          <w:rFonts w:ascii="Calibri" w:hAnsi="Calibri"/>
        </w:rPr>
        <w:t xml:space="preserve">potential </w:t>
      </w:r>
      <w:r w:rsidRPr="006F72F6">
        <w:rPr>
          <w:rFonts w:ascii="Calibri" w:hAnsi="Calibri"/>
        </w:rPr>
        <w:t xml:space="preserve">service disruptions and </w:t>
      </w:r>
      <w:proofErr w:type="gramStart"/>
      <w:r w:rsidRPr="006F72F6">
        <w:rPr>
          <w:rFonts w:ascii="Calibri" w:hAnsi="Calibri"/>
        </w:rPr>
        <w:t>anomalies</w:t>
      </w:r>
      <w:r>
        <w:rPr>
          <w:rFonts w:ascii="Calibri" w:hAnsi="Calibri"/>
        </w:rPr>
        <w:t>;</w:t>
      </w:r>
      <w:proofErr w:type="gramEnd"/>
    </w:p>
    <w:p w14:paraId="4517FFF5" w14:textId="47FF8D1D" w:rsidR="007921F9" w:rsidRDefault="007921F9" w:rsidP="007921F9">
      <w:pPr>
        <w:pStyle w:val="Bullet1"/>
        <w:numPr>
          <w:ilvl w:val="1"/>
          <w:numId w:val="7"/>
        </w:numPr>
        <w:rPr>
          <w:rFonts w:ascii="Calibri" w:hAnsi="Calibri"/>
        </w:rPr>
      </w:pPr>
      <w:r>
        <w:rPr>
          <w:rFonts w:ascii="Calibri" w:hAnsi="Calibri"/>
        </w:rPr>
        <w:t xml:space="preserve">Verification of the service performance in accordance with the service </w:t>
      </w:r>
      <w:proofErr w:type="gramStart"/>
      <w:r>
        <w:rPr>
          <w:rFonts w:ascii="Calibri" w:hAnsi="Calibri"/>
        </w:rPr>
        <w:t>specifications;</w:t>
      </w:r>
      <w:proofErr w:type="gramEnd"/>
    </w:p>
    <w:p w14:paraId="44C329E1" w14:textId="7FB52A0C" w:rsidR="007921F9" w:rsidRDefault="007921F9" w:rsidP="007921F9">
      <w:pPr>
        <w:pStyle w:val="Bullet1"/>
        <w:numPr>
          <w:ilvl w:val="1"/>
          <w:numId w:val="7"/>
        </w:numPr>
        <w:rPr>
          <w:rFonts w:ascii="Calibri" w:hAnsi="Calibri"/>
        </w:rPr>
      </w:pPr>
      <w:r>
        <w:rPr>
          <w:rFonts w:ascii="Calibri" w:hAnsi="Calibri"/>
        </w:rPr>
        <w:t xml:space="preserve">Publication of information, </w:t>
      </w:r>
      <w:r w:rsidR="00357420">
        <w:rPr>
          <w:rFonts w:ascii="Calibri" w:hAnsi="Calibri"/>
        </w:rPr>
        <w:t>including</w:t>
      </w:r>
      <w:r>
        <w:rPr>
          <w:rFonts w:ascii="Calibri" w:hAnsi="Calibri"/>
        </w:rPr>
        <w:t xml:space="preserve"> description of the </w:t>
      </w:r>
      <w:r w:rsidR="00357420">
        <w:rPr>
          <w:rFonts w:ascii="Calibri" w:hAnsi="Calibri"/>
        </w:rPr>
        <w:t>augmentation</w:t>
      </w:r>
      <w:r w:rsidR="00357420" w:rsidRPr="00357420">
        <w:rPr>
          <w:rFonts w:ascii="Calibri" w:hAnsi="Calibri"/>
        </w:rPr>
        <w:t xml:space="preserve"> </w:t>
      </w:r>
      <w:r>
        <w:rPr>
          <w:rFonts w:ascii="Calibri" w:hAnsi="Calibri"/>
        </w:rPr>
        <w:t xml:space="preserve">service (coverage area, typical performance), </w:t>
      </w:r>
      <w:r w:rsidR="00DA41B8">
        <w:rPr>
          <w:rFonts w:ascii="Calibri" w:hAnsi="Calibri"/>
        </w:rPr>
        <w:t xml:space="preserve">up-to-date information of scheduled </w:t>
      </w:r>
      <w:r>
        <w:rPr>
          <w:rFonts w:ascii="Calibri" w:hAnsi="Calibri"/>
        </w:rPr>
        <w:t>maintenance activities</w:t>
      </w:r>
      <w:r w:rsidR="00DA41B8">
        <w:rPr>
          <w:rFonts w:ascii="Calibri" w:hAnsi="Calibri"/>
        </w:rPr>
        <w:t>,</w:t>
      </w:r>
      <w:r>
        <w:rPr>
          <w:rFonts w:ascii="Calibri" w:hAnsi="Calibri"/>
        </w:rPr>
        <w:t xml:space="preserve"> </w:t>
      </w:r>
      <w:proofErr w:type="gramStart"/>
      <w:r>
        <w:rPr>
          <w:rFonts w:ascii="Calibri" w:hAnsi="Calibri"/>
        </w:rPr>
        <w:t>etcetera;</w:t>
      </w:r>
      <w:proofErr w:type="gramEnd"/>
    </w:p>
    <w:p w14:paraId="0772E2A8" w14:textId="595CDDDD" w:rsidR="00DA41B8" w:rsidRDefault="00DA41B8" w:rsidP="007921F9">
      <w:pPr>
        <w:pStyle w:val="Bullet1"/>
        <w:tabs>
          <w:tab w:val="clear" w:pos="720"/>
        </w:tabs>
        <w:ind w:left="1134" w:hanging="567"/>
        <w:rPr>
          <w:rFonts w:ascii="Calibri" w:hAnsi="Calibri"/>
        </w:rPr>
      </w:pPr>
      <w:r>
        <w:rPr>
          <w:rFonts w:ascii="Calibri" w:hAnsi="Calibri"/>
        </w:rPr>
        <w:t>Additionally, R1022 shows additionally IALA recommendations for the information provided by service provider:</w:t>
      </w:r>
    </w:p>
    <w:p w14:paraId="0C07735F" w14:textId="358EA09B" w:rsidR="00DA41B8" w:rsidRDefault="00DA41B8" w:rsidP="00DA41B8">
      <w:pPr>
        <w:pStyle w:val="Bullet1"/>
        <w:numPr>
          <w:ilvl w:val="1"/>
          <w:numId w:val="7"/>
        </w:numPr>
        <w:rPr>
          <w:rFonts w:ascii="Calibri" w:hAnsi="Calibri"/>
        </w:rPr>
      </w:pPr>
      <w:r w:rsidRPr="00DA41B8">
        <w:rPr>
          <w:rFonts w:ascii="Calibri" w:hAnsi="Calibri"/>
        </w:rPr>
        <w:t>Confirmation that</w:t>
      </w:r>
      <w:r>
        <w:rPr>
          <w:rFonts w:ascii="Calibri" w:hAnsi="Calibri"/>
        </w:rPr>
        <w:t>:</w:t>
      </w:r>
    </w:p>
    <w:p w14:paraId="73594023" w14:textId="6A6BE1C1" w:rsidR="00DA41B8" w:rsidRDefault="00DA41B8" w:rsidP="00DA41B8">
      <w:pPr>
        <w:pStyle w:val="Bullet1"/>
        <w:numPr>
          <w:ilvl w:val="2"/>
          <w:numId w:val="7"/>
        </w:numPr>
        <w:rPr>
          <w:rFonts w:ascii="Calibri" w:hAnsi="Calibri"/>
        </w:rPr>
      </w:pPr>
      <w:r w:rsidRPr="00DA41B8">
        <w:rPr>
          <w:rFonts w:ascii="Calibri" w:hAnsi="Calibri"/>
        </w:rPr>
        <w:t xml:space="preserve">the service offered is operational and available for use by maritime </w:t>
      </w:r>
      <w:proofErr w:type="gramStart"/>
      <w:r w:rsidRPr="00DA41B8">
        <w:rPr>
          <w:rFonts w:ascii="Calibri" w:hAnsi="Calibri"/>
        </w:rPr>
        <w:t>stakeholders</w:t>
      </w:r>
      <w:r w:rsidR="007642C8">
        <w:rPr>
          <w:rFonts w:ascii="Calibri" w:hAnsi="Calibri"/>
        </w:rPr>
        <w:t>;</w:t>
      </w:r>
      <w:proofErr w:type="gramEnd"/>
    </w:p>
    <w:p w14:paraId="38E59FEA" w14:textId="47C09A42" w:rsidR="00DA41B8" w:rsidRDefault="00DA41B8" w:rsidP="00DA41B8">
      <w:pPr>
        <w:pStyle w:val="Bullet1"/>
        <w:numPr>
          <w:ilvl w:val="2"/>
          <w:numId w:val="7"/>
        </w:numPr>
        <w:rPr>
          <w:rFonts w:ascii="Calibri" w:hAnsi="Calibri"/>
        </w:rPr>
      </w:pPr>
      <w:r w:rsidRPr="00DA41B8">
        <w:rPr>
          <w:rFonts w:ascii="Calibri" w:hAnsi="Calibri"/>
        </w:rPr>
        <w:t xml:space="preserve">the service will be provided continuously until further </w:t>
      </w:r>
      <w:proofErr w:type="gramStart"/>
      <w:r w:rsidRPr="00DA41B8">
        <w:rPr>
          <w:rFonts w:ascii="Calibri" w:hAnsi="Calibri"/>
        </w:rPr>
        <w:t>notice</w:t>
      </w:r>
      <w:r w:rsidR="007642C8">
        <w:rPr>
          <w:rFonts w:ascii="Calibri" w:hAnsi="Calibri"/>
        </w:rPr>
        <w:t>;</w:t>
      </w:r>
      <w:proofErr w:type="gramEnd"/>
    </w:p>
    <w:p w14:paraId="351A3002" w14:textId="5E65DCF8" w:rsidR="00DA41B8" w:rsidRDefault="00DA41B8" w:rsidP="00DA41B8">
      <w:pPr>
        <w:pStyle w:val="Bullet1"/>
        <w:numPr>
          <w:ilvl w:val="2"/>
          <w:numId w:val="7"/>
        </w:numPr>
        <w:rPr>
          <w:rFonts w:ascii="Calibri" w:hAnsi="Calibri"/>
        </w:rPr>
      </w:pPr>
      <w:r w:rsidRPr="00DA41B8">
        <w:rPr>
          <w:rFonts w:ascii="Calibri" w:hAnsi="Calibri"/>
        </w:rPr>
        <w:t>any future changes in the GNSS augmentation service should not affect legacy users of the service.</w:t>
      </w:r>
    </w:p>
    <w:p w14:paraId="6B7D2A98" w14:textId="77777777" w:rsidR="00DA41B8" w:rsidRPr="00DA41B8" w:rsidRDefault="00DA41B8" w:rsidP="00DA41B8">
      <w:pPr>
        <w:pStyle w:val="Bullet1"/>
        <w:numPr>
          <w:ilvl w:val="1"/>
          <w:numId w:val="7"/>
        </w:numPr>
        <w:rPr>
          <w:rFonts w:ascii="Calibri" w:hAnsi="Calibri"/>
        </w:rPr>
      </w:pPr>
      <w:r w:rsidRPr="00DA41B8">
        <w:rPr>
          <w:rFonts w:ascii="Calibri" w:hAnsi="Calibri"/>
        </w:rPr>
        <w:t>Identification and contact details of the GNSS augmentation service provider.</w:t>
      </w:r>
    </w:p>
    <w:p w14:paraId="0B449B07" w14:textId="00FC4786" w:rsidR="00DA41B8" w:rsidRDefault="00DA41B8" w:rsidP="00023F46">
      <w:pPr>
        <w:pStyle w:val="Bullet1"/>
        <w:numPr>
          <w:ilvl w:val="1"/>
          <w:numId w:val="7"/>
        </w:numPr>
        <w:rPr>
          <w:rFonts w:ascii="Calibri" w:hAnsi="Calibri"/>
        </w:rPr>
      </w:pPr>
      <w:r w:rsidRPr="00DA41B8">
        <w:rPr>
          <w:rFonts w:ascii="Calibri" w:hAnsi="Calibri"/>
        </w:rPr>
        <w:t>Any terms and conditions to access the Service.</w:t>
      </w:r>
    </w:p>
    <w:p w14:paraId="0E2A6858" w14:textId="64540C90" w:rsidR="007921F9" w:rsidRDefault="007921F9" w:rsidP="007921F9">
      <w:pPr>
        <w:pStyle w:val="Bullet1"/>
        <w:tabs>
          <w:tab w:val="clear" w:pos="720"/>
        </w:tabs>
        <w:ind w:left="1134" w:hanging="567"/>
        <w:rPr>
          <w:rFonts w:ascii="Calibri" w:hAnsi="Calibri"/>
        </w:rPr>
      </w:pPr>
      <w:r>
        <w:rPr>
          <w:rFonts w:ascii="Calibri" w:hAnsi="Calibri"/>
        </w:rPr>
        <w:t xml:space="preserve">Worldwide harmonization of maritime Services based on Augmentation System will be a key element to ensure interoperability. The introduction the maritime services based on the augmentation systems in the Maritime Service Portfolio can be a useful tool for this purpose. </w:t>
      </w:r>
    </w:p>
    <w:p w14:paraId="1AD0D5D8" w14:textId="77777777" w:rsidR="009714F5" w:rsidRPr="00CD5713" w:rsidRDefault="009714F5" w:rsidP="009714F5">
      <w:pPr>
        <w:pStyle w:val="Bullet1"/>
        <w:numPr>
          <w:ilvl w:val="0"/>
          <w:numId w:val="0"/>
        </w:numPr>
        <w:ind w:left="720" w:hanging="360"/>
        <w:rPr>
          <w:rFonts w:ascii="Calibri" w:hAnsi="Calibri"/>
        </w:rPr>
      </w:pPr>
    </w:p>
    <w:p w14:paraId="0293110F" w14:textId="1B4E3D74" w:rsidR="000E7EA2" w:rsidRDefault="00123D01" w:rsidP="0054101E">
      <w:pPr>
        <w:pStyle w:val="Heading2"/>
        <w:numPr>
          <w:ilvl w:val="1"/>
          <w:numId w:val="10"/>
        </w:numPr>
        <w:jc w:val="both"/>
      </w:pPr>
      <w:r w:rsidRPr="000E7EA2">
        <w:t>Schedule</w:t>
      </w:r>
    </w:p>
    <w:p w14:paraId="7D592F7D" w14:textId="0E2B5A67" w:rsidR="002617D9" w:rsidRPr="002617D9" w:rsidRDefault="002617D9" w:rsidP="00A35889">
      <w:pPr>
        <w:pStyle w:val="BodyText"/>
      </w:pPr>
      <w:r>
        <w:rPr>
          <w:rFonts w:ascii="Calibri" w:hAnsi="Calibri"/>
        </w:rPr>
        <w:t>It is proposed to work in the refinement of th</w:t>
      </w:r>
      <w:r w:rsidR="00DD348E">
        <w:rPr>
          <w:rFonts w:ascii="Calibri" w:hAnsi="Calibri"/>
        </w:rPr>
        <w:t xml:space="preserve">is </w:t>
      </w:r>
      <w:r w:rsidR="001749FB">
        <w:rPr>
          <w:rFonts w:ascii="Calibri" w:hAnsi="Calibri"/>
        </w:rPr>
        <w:t xml:space="preserve">input </w:t>
      </w:r>
      <w:r>
        <w:rPr>
          <w:rFonts w:ascii="Calibri" w:hAnsi="Calibri"/>
        </w:rPr>
        <w:t xml:space="preserve">paper </w:t>
      </w:r>
      <w:r w:rsidR="00C81521">
        <w:rPr>
          <w:rFonts w:ascii="Calibri" w:hAnsi="Calibri"/>
        </w:rPr>
        <w:t>through</w:t>
      </w:r>
      <w:r>
        <w:rPr>
          <w:rFonts w:ascii="Calibri" w:hAnsi="Calibri"/>
        </w:rPr>
        <w:t xml:space="preserve"> both IALA committees ENG18 and ENG19 </w:t>
      </w:r>
      <w:r w:rsidR="00C81521">
        <w:rPr>
          <w:rFonts w:ascii="Calibri" w:hAnsi="Calibri"/>
        </w:rPr>
        <w:t>such as</w:t>
      </w:r>
      <w:r>
        <w:rPr>
          <w:rFonts w:ascii="Calibri" w:hAnsi="Calibri"/>
        </w:rPr>
        <w:t xml:space="preserve"> a final version that </w:t>
      </w:r>
      <w:r w:rsidR="00C81521">
        <w:rPr>
          <w:rFonts w:ascii="Calibri" w:hAnsi="Calibri"/>
        </w:rPr>
        <w:t>shall</w:t>
      </w:r>
      <w:r w:rsidR="00DD348E">
        <w:rPr>
          <w:rFonts w:ascii="Calibri" w:hAnsi="Calibri"/>
        </w:rPr>
        <w:t xml:space="preserve"> be </w:t>
      </w:r>
      <w:r w:rsidR="00C81521">
        <w:rPr>
          <w:rFonts w:ascii="Calibri" w:hAnsi="Calibri"/>
        </w:rPr>
        <w:t>mature to be reviewed and agreed</w:t>
      </w:r>
      <w:r>
        <w:rPr>
          <w:rFonts w:ascii="Calibri" w:hAnsi="Calibri"/>
        </w:rPr>
        <w:t xml:space="preserve"> in IALA ENG19 </w:t>
      </w:r>
      <w:r w:rsidR="00DD348E">
        <w:rPr>
          <w:rFonts w:ascii="Calibri" w:hAnsi="Calibri"/>
        </w:rPr>
        <w:t>in October 2024</w:t>
      </w:r>
      <w:r w:rsidR="00C81521">
        <w:rPr>
          <w:rFonts w:ascii="Calibri" w:hAnsi="Calibri"/>
        </w:rPr>
        <w:t>. After the formal approval at IALA, the input paper shall be</w:t>
      </w:r>
      <w:r>
        <w:rPr>
          <w:rFonts w:ascii="Calibri" w:hAnsi="Calibri"/>
        </w:rPr>
        <w:t xml:space="preserve"> </w:t>
      </w:r>
      <w:r w:rsidR="00717572">
        <w:rPr>
          <w:rFonts w:ascii="Calibri" w:hAnsi="Calibri"/>
        </w:rPr>
        <w:t>proposed</w:t>
      </w:r>
      <w:r>
        <w:rPr>
          <w:rFonts w:ascii="Calibri" w:hAnsi="Calibri"/>
        </w:rPr>
        <w:t xml:space="preserve"> to IMO </w:t>
      </w:r>
      <w:r w:rsidR="00717572">
        <w:rPr>
          <w:rFonts w:ascii="Calibri" w:hAnsi="Calibri"/>
        </w:rPr>
        <w:t>NC</w:t>
      </w:r>
      <w:r w:rsidR="00234193">
        <w:rPr>
          <w:rFonts w:ascii="Calibri" w:hAnsi="Calibri"/>
        </w:rPr>
        <w:t>S</w:t>
      </w:r>
      <w:r w:rsidR="00717572">
        <w:rPr>
          <w:rFonts w:ascii="Calibri" w:hAnsi="Calibri"/>
        </w:rPr>
        <w:t>R</w:t>
      </w:r>
      <w:r w:rsidR="00C81521">
        <w:rPr>
          <w:rFonts w:ascii="Calibri" w:hAnsi="Calibri"/>
        </w:rPr>
        <w:t xml:space="preserve"> </w:t>
      </w:r>
      <w:r w:rsidR="001749FB">
        <w:rPr>
          <w:rFonts w:ascii="Calibri" w:hAnsi="Calibri"/>
        </w:rPr>
        <w:t>12</w:t>
      </w:r>
      <w:r w:rsidR="00C81521" w:rsidRPr="00906122">
        <w:rPr>
          <w:rFonts w:ascii="Calibri" w:hAnsi="Calibri"/>
          <w:vertAlign w:val="superscript"/>
        </w:rPr>
        <w:t>th</w:t>
      </w:r>
      <w:r w:rsidR="00C81521">
        <w:rPr>
          <w:rFonts w:ascii="Calibri" w:hAnsi="Calibri"/>
        </w:rPr>
        <w:t xml:space="preserve"> session</w:t>
      </w:r>
      <w:r w:rsidR="00717572">
        <w:rPr>
          <w:rFonts w:ascii="Calibri" w:hAnsi="Calibri"/>
        </w:rPr>
        <w:t xml:space="preserve"> </w:t>
      </w:r>
      <w:r w:rsidR="00C81521">
        <w:rPr>
          <w:rFonts w:ascii="Calibri" w:hAnsi="Calibri"/>
        </w:rPr>
        <w:t>(2025)</w:t>
      </w:r>
      <w:r>
        <w:rPr>
          <w:rFonts w:ascii="Calibri" w:hAnsi="Calibri"/>
        </w:rPr>
        <w:t>.</w:t>
      </w:r>
    </w:p>
    <w:p w14:paraId="6B038F08" w14:textId="77777777" w:rsidR="000E7EA2" w:rsidRPr="000E7EA2" w:rsidRDefault="000E7EA2" w:rsidP="000E7EA2">
      <w:pPr>
        <w:pStyle w:val="BodyText"/>
      </w:pPr>
    </w:p>
    <w:p w14:paraId="7528B901" w14:textId="77777777" w:rsidR="00123D01" w:rsidRDefault="00123D01" w:rsidP="0054101E">
      <w:pPr>
        <w:pStyle w:val="Heading2"/>
        <w:numPr>
          <w:ilvl w:val="1"/>
          <w:numId w:val="10"/>
        </w:numPr>
        <w:jc w:val="both"/>
      </w:pPr>
      <w:bookmarkStart w:id="2" w:name="_Ref144985463"/>
      <w:r>
        <w:t>Future work</w:t>
      </w:r>
      <w:bookmarkEnd w:id="2"/>
    </w:p>
    <w:p w14:paraId="4EC5A1AB" w14:textId="462D1001" w:rsidR="00946175" w:rsidRDefault="006557D5" w:rsidP="00946175">
      <w:pPr>
        <w:pStyle w:val="BodyText"/>
        <w:rPr>
          <w:rFonts w:ascii="Calibri" w:hAnsi="Calibri"/>
        </w:rPr>
      </w:pPr>
      <w:r>
        <w:rPr>
          <w:rFonts w:ascii="Calibri" w:hAnsi="Calibri"/>
        </w:rPr>
        <w:t xml:space="preserve">As part of the agreements reached in IMO MSC 107 Committee, the </w:t>
      </w:r>
      <w:r w:rsidRPr="00A35889">
        <w:rPr>
          <w:rFonts w:ascii="Calibri" w:hAnsi="Calibri"/>
          <w:b/>
          <w:bCs/>
        </w:rPr>
        <w:t xml:space="preserve">approval/adoption by IMO </w:t>
      </w:r>
      <w:proofErr w:type="gramStart"/>
      <w:r w:rsidRPr="00A35889">
        <w:rPr>
          <w:rFonts w:ascii="Calibri" w:hAnsi="Calibri"/>
          <w:b/>
          <w:bCs/>
        </w:rPr>
        <w:t xml:space="preserve">of  </w:t>
      </w:r>
      <w:r w:rsidR="00946175" w:rsidRPr="00A35889">
        <w:rPr>
          <w:rFonts w:ascii="Calibri" w:hAnsi="Calibri"/>
          <w:b/>
          <w:bCs/>
        </w:rPr>
        <w:t>the</w:t>
      </w:r>
      <w:proofErr w:type="gramEnd"/>
      <w:r w:rsidR="00946175" w:rsidRPr="00A35889">
        <w:rPr>
          <w:rFonts w:ascii="Calibri" w:hAnsi="Calibri"/>
          <w:b/>
          <w:bCs/>
        </w:rPr>
        <w:t xml:space="preserve"> proposed procedures and requirements for the</w:t>
      </w:r>
      <w:r w:rsidR="00946175" w:rsidRPr="00E01DBA">
        <w:rPr>
          <w:rFonts w:ascii="Calibri" w:hAnsi="Calibri"/>
        </w:rPr>
        <w:t xml:space="preserve"> </w:t>
      </w:r>
      <w:r w:rsidR="00946175" w:rsidRPr="00E01DBA">
        <w:rPr>
          <w:rFonts w:ascii="Calibri" w:hAnsi="Calibri"/>
          <w:b/>
        </w:rPr>
        <w:t>recognition of augmentation systems</w:t>
      </w:r>
      <w:r>
        <w:rPr>
          <w:rFonts w:ascii="Calibri" w:hAnsi="Calibri"/>
          <w:b/>
        </w:rPr>
        <w:t xml:space="preserve"> it is a pre-requisite to </w:t>
      </w:r>
      <w:r w:rsidR="00946175">
        <w:rPr>
          <w:rFonts w:ascii="Calibri" w:hAnsi="Calibri"/>
        </w:rPr>
        <w:t xml:space="preserve">start the necessary activities </w:t>
      </w:r>
      <w:r w:rsidR="001749FB">
        <w:rPr>
          <w:rFonts w:ascii="Calibri" w:hAnsi="Calibri"/>
        </w:rPr>
        <w:t xml:space="preserve">(at IMO) </w:t>
      </w:r>
      <w:r w:rsidR="00946175">
        <w:rPr>
          <w:rFonts w:ascii="Calibri" w:hAnsi="Calibri"/>
        </w:rPr>
        <w:t xml:space="preserve">for the development of </w:t>
      </w:r>
      <w:r w:rsidR="00946175" w:rsidRPr="00E01DBA">
        <w:rPr>
          <w:rFonts w:ascii="Calibri" w:hAnsi="Calibri"/>
        </w:rPr>
        <w:t>performance standards for DFMC SBAS and ARAIM in shipborne radionavigation receivers</w:t>
      </w:r>
      <w:r w:rsidR="00566437">
        <w:rPr>
          <w:rFonts w:ascii="Calibri" w:hAnsi="Calibri"/>
        </w:rPr>
        <w:t>.</w:t>
      </w:r>
    </w:p>
    <w:p w14:paraId="46EBA4A6" w14:textId="3A7A361F" w:rsidR="00566437" w:rsidRDefault="00566437" w:rsidP="00946175">
      <w:pPr>
        <w:pStyle w:val="BodyText"/>
        <w:rPr>
          <w:rFonts w:ascii="Calibri" w:hAnsi="Calibri"/>
        </w:rPr>
      </w:pPr>
      <w:r w:rsidRPr="00906122">
        <w:rPr>
          <w:rFonts w:ascii="Calibri" w:hAnsi="Calibri"/>
        </w:rPr>
        <w:t xml:space="preserve">DFMC SBAS and ARAIM are expected to be operational worldwide starting in 2028. To ensure there is an IEC test standard in place by then, </w:t>
      </w:r>
      <w:r>
        <w:rPr>
          <w:rFonts w:ascii="Calibri" w:hAnsi="Calibri"/>
        </w:rPr>
        <w:t>a</w:t>
      </w:r>
      <w:r w:rsidRPr="00906122">
        <w:rPr>
          <w:rFonts w:ascii="Calibri" w:hAnsi="Calibri"/>
        </w:rPr>
        <w:t xml:space="preserve">n IMO performance standard should be finalized by 2026 which </w:t>
      </w:r>
      <w:r w:rsidR="00234193">
        <w:rPr>
          <w:rFonts w:ascii="Calibri" w:hAnsi="Calibri"/>
        </w:rPr>
        <w:t xml:space="preserve">shall enable </w:t>
      </w:r>
      <w:r w:rsidRPr="00906122">
        <w:rPr>
          <w:rFonts w:ascii="Calibri" w:hAnsi="Calibri"/>
        </w:rPr>
        <w:t xml:space="preserve">IEC standard can </w:t>
      </w:r>
      <w:r w:rsidR="007726A6">
        <w:rPr>
          <w:rFonts w:ascii="Calibri" w:hAnsi="Calibri"/>
        </w:rPr>
        <w:t xml:space="preserve">start not later than 2026 </w:t>
      </w:r>
      <w:r w:rsidR="00234193">
        <w:rPr>
          <w:rFonts w:ascii="Calibri" w:hAnsi="Calibri"/>
        </w:rPr>
        <w:t>with the aim</w:t>
      </w:r>
      <w:r w:rsidRPr="00906122">
        <w:rPr>
          <w:rFonts w:ascii="Calibri" w:hAnsi="Calibri"/>
        </w:rPr>
        <w:t xml:space="preserve"> to be completed by 2028.</w:t>
      </w:r>
    </w:p>
    <w:p w14:paraId="13802CEE" w14:textId="7A237B36" w:rsidR="00566437" w:rsidRDefault="001A0EFA" w:rsidP="00946175">
      <w:pPr>
        <w:pStyle w:val="BodyText"/>
        <w:rPr>
          <w:rFonts w:ascii="Calibri" w:hAnsi="Calibri"/>
        </w:rPr>
      </w:pPr>
      <w:r>
        <w:rPr>
          <w:rFonts w:ascii="Calibri" w:hAnsi="Calibri"/>
        </w:rPr>
        <w:t>Considering</w:t>
      </w:r>
      <w:r w:rsidR="00566437">
        <w:rPr>
          <w:rFonts w:ascii="Calibri" w:hAnsi="Calibri"/>
        </w:rPr>
        <w:t xml:space="preserve"> that IMO expects to </w:t>
      </w:r>
      <w:r w:rsidR="009D0ECA">
        <w:rPr>
          <w:rFonts w:ascii="Calibri" w:hAnsi="Calibri"/>
        </w:rPr>
        <w:t>dedicate</w:t>
      </w:r>
      <w:r w:rsidR="00566437">
        <w:rPr>
          <w:rFonts w:ascii="Calibri" w:hAnsi="Calibri"/>
        </w:rPr>
        <w:t xml:space="preserve"> two sessions to the development of this performance standards</w:t>
      </w:r>
      <w:r w:rsidR="009D0ECA">
        <w:rPr>
          <w:rFonts w:ascii="Calibri" w:hAnsi="Calibri"/>
        </w:rPr>
        <w:t xml:space="preserve">, </w:t>
      </w:r>
      <w:r w:rsidR="009D0ECA" w:rsidRPr="00906122">
        <w:rPr>
          <w:rFonts w:ascii="Calibri" w:hAnsi="Calibri"/>
          <w:u w:val="single"/>
        </w:rPr>
        <w:t>proposing the recognition of augmentation systems</w:t>
      </w:r>
      <w:r w:rsidR="00234193">
        <w:rPr>
          <w:rFonts w:ascii="Calibri" w:hAnsi="Calibri"/>
          <w:u w:val="single"/>
        </w:rPr>
        <w:t xml:space="preserve"> in</w:t>
      </w:r>
      <w:r w:rsidR="009D0ECA" w:rsidRPr="00906122">
        <w:rPr>
          <w:rFonts w:ascii="Calibri" w:hAnsi="Calibri"/>
          <w:u w:val="single"/>
        </w:rPr>
        <w:t xml:space="preserve"> </w:t>
      </w:r>
      <w:r w:rsidR="00234193">
        <w:rPr>
          <w:rFonts w:ascii="Calibri" w:hAnsi="Calibri"/>
        </w:rPr>
        <w:t>IMO NCSR 12</w:t>
      </w:r>
      <w:r w:rsidR="00234193" w:rsidRPr="007F4D39">
        <w:rPr>
          <w:rFonts w:ascii="Calibri" w:hAnsi="Calibri"/>
          <w:vertAlign w:val="superscript"/>
        </w:rPr>
        <w:t>th</w:t>
      </w:r>
      <w:r w:rsidR="00234193">
        <w:rPr>
          <w:rFonts w:ascii="Calibri" w:hAnsi="Calibri"/>
        </w:rPr>
        <w:t xml:space="preserve"> session in 2025 </w:t>
      </w:r>
      <w:r w:rsidR="009D0ECA" w:rsidRPr="00906122">
        <w:rPr>
          <w:rFonts w:ascii="Calibri" w:hAnsi="Calibri"/>
          <w:u w:val="single"/>
        </w:rPr>
        <w:t>would fit within the global schedule of the activities</w:t>
      </w:r>
      <w:r w:rsidR="009D0ECA">
        <w:rPr>
          <w:rFonts w:ascii="Calibri" w:hAnsi="Calibri"/>
        </w:rPr>
        <w:t>.</w:t>
      </w:r>
    </w:p>
    <w:p w14:paraId="2127DDF7" w14:textId="77777777" w:rsidR="00566437" w:rsidRPr="00906122" w:rsidRDefault="00566437" w:rsidP="00946175">
      <w:pPr>
        <w:pStyle w:val="BodyText"/>
        <w:rPr>
          <w:rFonts w:ascii="Calibri" w:hAnsi="Calibri"/>
        </w:rPr>
      </w:pPr>
    </w:p>
    <w:p w14:paraId="1D083D92" w14:textId="77777777" w:rsidR="00180DDA" w:rsidRPr="007A395D" w:rsidRDefault="00180DDA" w:rsidP="00605E43">
      <w:pPr>
        <w:pStyle w:val="Heading1"/>
      </w:pPr>
      <w:r w:rsidRPr="007A395D">
        <w:t>References</w:t>
      </w:r>
    </w:p>
    <w:p w14:paraId="612D3576" w14:textId="1A927E9D" w:rsidR="00D556BB" w:rsidRDefault="00CB728D" w:rsidP="00D556BB">
      <w:pPr>
        <w:pStyle w:val="References"/>
        <w:jc w:val="both"/>
        <w:rPr>
          <w:rFonts w:ascii="Calibri" w:hAnsi="Calibri"/>
        </w:rPr>
      </w:pPr>
      <w:bookmarkStart w:id="3" w:name="_Ref144904454"/>
      <w:r>
        <w:rPr>
          <w:rFonts w:ascii="Calibri" w:hAnsi="Calibri"/>
        </w:rPr>
        <w:t xml:space="preserve">IMO </w:t>
      </w:r>
      <w:r w:rsidR="00D556BB" w:rsidRPr="00E01DBA">
        <w:rPr>
          <w:rFonts w:ascii="Calibri" w:hAnsi="Calibri"/>
        </w:rPr>
        <w:t xml:space="preserve">MSC 107-20 - Report </w:t>
      </w:r>
      <w:proofErr w:type="gramStart"/>
      <w:r w:rsidR="00D556BB" w:rsidRPr="00E01DBA">
        <w:rPr>
          <w:rFonts w:ascii="Calibri" w:hAnsi="Calibri"/>
        </w:rPr>
        <w:t>Of</w:t>
      </w:r>
      <w:proofErr w:type="gramEnd"/>
      <w:r w:rsidR="00D556BB" w:rsidRPr="00E01DBA">
        <w:rPr>
          <w:rFonts w:ascii="Calibri" w:hAnsi="Calibri"/>
        </w:rPr>
        <w:t xml:space="preserve"> The Maritime Safety Committee</w:t>
      </w:r>
      <w:r w:rsidR="00D556BB">
        <w:rPr>
          <w:rFonts w:ascii="Calibri" w:hAnsi="Calibri"/>
        </w:rPr>
        <w:t xml:space="preserve"> </w:t>
      </w:r>
      <w:r w:rsidR="00D556BB" w:rsidRPr="00E01DBA">
        <w:rPr>
          <w:rFonts w:ascii="Calibri" w:hAnsi="Calibri"/>
        </w:rPr>
        <w:t>On Its 107Th Session (Secretariat)</w:t>
      </w:r>
    </w:p>
    <w:p w14:paraId="1E68CECE" w14:textId="096DF51B" w:rsidR="00D556BB" w:rsidRDefault="00CB728D" w:rsidP="00D556BB">
      <w:pPr>
        <w:pStyle w:val="References"/>
        <w:jc w:val="both"/>
        <w:rPr>
          <w:rFonts w:ascii="Calibri" w:hAnsi="Calibri"/>
        </w:rPr>
      </w:pPr>
      <w:r>
        <w:rPr>
          <w:rFonts w:ascii="Calibri" w:hAnsi="Calibri"/>
        </w:rPr>
        <w:t xml:space="preserve">IMO </w:t>
      </w:r>
      <w:r w:rsidR="00D556BB" w:rsidRPr="00E01DBA">
        <w:rPr>
          <w:rFonts w:ascii="Calibri" w:hAnsi="Calibri"/>
        </w:rPr>
        <w:t xml:space="preserve">MSC 107-20-Add.1 - Report </w:t>
      </w:r>
      <w:proofErr w:type="gramStart"/>
      <w:r w:rsidR="00D556BB" w:rsidRPr="00E01DBA">
        <w:rPr>
          <w:rFonts w:ascii="Calibri" w:hAnsi="Calibri"/>
        </w:rPr>
        <w:t>Of</w:t>
      </w:r>
      <w:proofErr w:type="gramEnd"/>
      <w:r w:rsidR="00D556BB" w:rsidRPr="00E01DBA">
        <w:rPr>
          <w:rFonts w:ascii="Calibri" w:hAnsi="Calibri"/>
        </w:rPr>
        <w:t xml:space="preserve"> The Maritime Safety Committee</w:t>
      </w:r>
      <w:r w:rsidR="00D556BB">
        <w:rPr>
          <w:rFonts w:ascii="Calibri" w:hAnsi="Calibri"/>
        </w:rPr>
        <w:t xml:space="preserve"> </w:t>
      </w:r>
      <w:r w:rsidR="00D556BB" w:rsidRPr="00E01DBA">
        <w:rPr>
          <w:rFonts w:ascii="Calibri" w:hAnsi="Calibri"/>
        </w:rPr>
        <w:t>On Its 107Th Session (Secretariat)</w:t>
      </w:r>
    </w:p>
    <w:p w14:paraId="2AB80F08" w14:textId="30658727" w:rsidR="007810B3" w:rsidRDefault="00CB728D" w:rsidP="007810B3">
      <w:pPr>
        <w:pStyle w:val="References"/>
        <w:jc w:val="both"/>
        <w:rPr>
          <w:rFonts w:ascii="Calibri" w:hAnsi="Calibri"/>
        </w:rPr>
      </w:pPr>
      <w:r>
        <w:rPr>
          <w:rFonts w:ascii="Calibri" w:hAnsi="Calibri"/>
        </w:rPr>
        <w:t xml:space="preserve">IMO </w:t>
      </w:r>
      <w:r w:rsidR="00A35889" w:rsidRPr="00A35889">
        <w:rPr>
          <w:rFonts w:ascii="Calibri" w:hAnsi="Calibri"/>
        </w:rPr>
        <w:t xml:space="preserve">MSC-107-17-7 - </w:t>
      </w:r>
      <w:r w:rsidR="00A35889" w:rsidRPr="00906122">
        <w:rPr>
          <w:rFonts w:ascii="Calibri" w:hAnsi="Calibri"/>
        </w:rPr>
        <w:t>Proposal for a new output to develop minimum Performance Standards for Dual Frequency Multi-Constellation Satellite-Based Augmentation Systems (DFMC SBAS) and Advanced Receiver Autonomous Integrity Monitoring (ARAIM) in shipborne radionavigation receivers</w:t>
      </w:r>
      <w:r w:rsidR="0045017A">
        <w:rPr>
          <w:rFonts w:ascii="Calibri" w:hAnsi="Calibri"/>
        </w:rPr>
        <w:t>.</w:t>
      </w:r>
    </w:p>
    <w:p w14:paraId="4C15E71C" w14:textId="281969CE" w:rsidR="006D18D6" w:rsidRDefault="006D18D6" w:rsidP="007810B3">
      <w:pPr>
        <w:pStyle w:val="References"/>
        <w:jc w:val="both"/>
        <w:rPr>
          <w:rFonts w:ascii="Calibri" w:hAnsi="Calibri"/>
        </w:rPr>
      </w:pPr>
      <w:r w:rsidRPr="006D18D6">
        <w:rPr>
          <w:rFonts w:ascii="Calibri" w:hAnsi="Calibri"/>
        </w:rPr>
        <w:t xml:space="preserve">IMO Resolution MSC 401(95), </w:t>
      </w:r>
      <w:hyperlink r:id="rId11" w:history="1">
        <w:r w:rsidRPr="00906122">
          <w:rPr>
            <w:rStyle w:val="Hyperlink"/>
            <w:rFonts w:ascii="Calibri" w:hAnsi="Calibri"/>
            <w:color w:val="4F81BD" w:themeColor="accent1"/>
            <w:u w:val="single"/>
          </w:rPr>
          <w:t>https://wwwcdn.imo.org/localresources/en/KnowledgeCentre/IndexofIMOResolutions/MSCResolutions/MSC.401(95).pdf</w:t>
        </w:r>
      </w:hyperlink>
      <w:r>
        <w:rPr>
          <w:rFonts w:ascii="Calibri" w:hAnsi="Calibri"/>
        </w:rPr>
        <w:t xml:space="preserve"> </w:t>
      </w:r>
    </w:p>
    <w:p w14:paraId="3AD407CA" w14:textId="77777777" w:rsidR="00E646E2" w:rsidRPr="0067250F" w:rsidRDefault="00D556BB" w:rsidP="00D556BB">
      <w:pPr>
        <w:pStyle w:val="References"/>
        <w:rPr>
          <w:rFonts w:ascii="Calibri" w:hAnsi="Calibri"/>
          <w:lang w:val="pt-PT"/>
        </w:rPr>
      </w:pPr>
      <w:bookmarkStart w:id="4" w:name="_Ref160205876"/>
      <w:r w:rsidRPr="0067250F">
        <w:rPr>
          <w:rFonts w:ascii="Calibri" w:hAnsi="Calibri"/>
          <w:lang w:val="pt-PT"/>
        </w:rPr>
        <w:t xml:space="preserve">IMO Resolution A.1046(27) (2011), </w:t>
      </w:r>
      <w:bookmarkEnd w:id="3"/>
      <w:r w:rsidRPr="00906122">
        <w:rPr>
          <w:rStyle w:val="Hyperlink"/>
          <w:color w:val="4F81BD" w:themeColor="accent1"/>
          <w:u w:val="single"/>
        </w:rPr>
        <w:fldChar w:fldCharType="begin"/>
      </w:r>
      <w:r w:rsidRPr="0067250F">
        <w:rPr>
          <w:rStyle w:val="Hyperlink"/>
          <w:color w:val="4F81BD" w:themeColor="accent1"/>
          <w:u w:val="single"/>
          <w:lang w:val="pt-PT"/>
        </w:rPr>
        <w:instrText xml:space="preserve"> HYPERLINK "https://wwwcdn.imo.org/localresources/en/KnowledgeCentre/IndexofIMOResolutions/AssemblyDocuments/A.1046(27).pdf" </w:instrText>
      </w:r>
      <w:r w:rsidRPr="00906122">
        <w:rPr>
          <w:rStyle w:val="Hyperlink"/>
          <w:color w:val="4F81BD" w:themeColor="accent1"/>
          <w:u w:val="single"/>
        </w:rPr>
      </w:r>
      <w:r w:rsidRPr="00906122">
        <w:rPr>
          <w:rStyle w:val="Hyperlink"/>
          <w:color w:val="4F81BD" w:themeColor="accent1"/>
          <w:u w:val="single"/>
        </w:rPr>
        <w:fldChar w:fldCharType="separate"/>
      </w:r>
      <w:r w:rsidRPr="0067250F">
        <w:rPr>
          <w:rStyle w:val="Hyperlink"/>
          <w:rFonts w:ascii="Calibri" w:hAnsi="Calibri"/>
          <w:color w:val="4F81BD" w:themeColor="accent1"/>
          <w:u w:val="single"/>
          <w:lang w:val="pt-PT"/>
        </w:rPr>
        <w:t>https://wwwcdn.imo.org/localresources/en/KnowledgeCentre/IndexofIMOResolutions/AssemblyDocuments/A.1046(27).pdf</w:t>
      </w:r>
      <w:r w:rsidRPr="00906122">
        <w:rPr>
          <w:rStyle w:val="Hyperlink"/>
          <w:color w:val="4F81BD" w:themeColor="accent1"/>
          <w:u w:val="single"/>
        </w:rPr>
        <w:fldChar w:fldCharType="end"/>
      </w:r>
      <w:bookmarkEnd w:id="4"/>
    </w:p>
    <w:p w14:paraId="35D26DA2" w14:textId="44DD0494" w:rsidR="00D556BB" w:rsidRPr="0067250F" w:rsidRDefault="00E646E2" w:rsidP="00E646E2">
      <w:pPr>
        <w:pStyle w:val="References"/>
        <w:rPr>
          <w:rFonts w:ascii="Calibri" w:hAnsi="Calibri"/>
          <w:lang w:val="pt-PT"/>
        </w:rPr>
      </w:pPr>
      <w:bookmarkStart w:id="5" w:name="_Ref160170028"/>
      <w:r w:rsidRPr="0067250F">
        <w:rPr>
          <w:rFonts w:ascii="Calibri" w:hAnsi="Calibri"/>
          <w:lang w:val="pt-PT"/>
        </w:rPr>
        <w:t xml:space="preserve">IMO Resolution A.915(22) (2001), </w:t>
      </w:r>
      <w:hyperlink r:id="rId12" w:history="1">
        <w:r w:rsidRPr="0067250F">
          <w:rPr>
            <w:rStyle w:val="Hyperlink"/>
            <w:rFonts w:ascii="Calibri" w:hAnsi="Calibri"/>
            <w:color w:val="4F81BD" w:themeColor="accent1"/>
            <w:u w:val="single"/>
            <w:lang w:val="pt-PT"/>
          </w:rPr>
          <w:t>https://wwwcdn.imo.org/localresources/en/KnowledgeCentre/IndexofIMOResolutions/AssemblyDocuments/A.915(22).pdf</w:t>
        </w:r>
      </w:hyperlink>
      <w:bookmarkEnd w:id="5"/>
      <w:r w:rsidR="00D556BB" w:rsidRPr="0067250F">
        <w:rPr>
          <w:rStyle w:val="Hyperlink"/>
          <w:color w:val="4F81BD" w:themeColor="accent1"/>
          <w:u w:val="single"/>
          <w:lang w:val="pt-PT"/>
        </w:rPr>
        <w:t xml:space="preserve"> </w:t>
      </w:r>
    </w:p>
    <w:p w14:paraId="3641267C" w14:textId="1E381507" w:rsidR="00F92491" w:rsidRPr="00E646E2" w:rsidRDefault="00F92491" w:rsidP="00E646E2">
      <w:pPr>
        <w:pStyle w:val="References"/>
        <w:rPr>
          <w:rFonts w:ascii="Calibri" w:hAnsi="Calibri"/>
        </w:rPr>
      </w:pPr>
      <w:r w:rsidRPr="00CD5713">
        <w:rPr>
          <w:rFonts w:ascii="Calibri" w:hAnsi="Calibri"/>
          <w:szCs w:val="22"/>
        </w:rPr>
        <w:t>IMO MSC 85/26/Add.1, Annex 20</w:t>
      </w:r>
      <w:r>
        <w:rPr>
          <w:rFonts w:ascii="Calibri" w:hAnsi="Calibri"/>
          <w:szCs w:val="22"/>
        </w:rPr>
        <w:t xml:space="preserve"> </w:t>
      </w:r>
      <w:r w:rsidR="00BE358F" w:rsidRPr="00CD5713">
        <w:rPr>
          <w:rFonts w:ascii="Calibri" w:hAnsi="Calibri"/>
          <w:szCs w:val="22"/>
        </w:rPr>
        <w:t>(2008)</w:t>
      </w:r>
      <w:r w:rsidR="00BE358F">
        <w:rPr>
          <w:rFonts w:ascii="Calibri" w:hAnsi="Calibri"/>
          <w:szCs w:val="22"/>
        </w:rPr>
        <w:t>,</w:t>
      </w:r>
      <w:r w:rsidR="00BE358F" w:rsidRPr="00CD5713">
        <w:rPr>
          <w:rFonts w:ascii="Calibri" w:hAnsi="Calibri"/>
          <w:szCs w:val="22"/>
        </w:rPr>
        <w:t xml:space="preserve"> </w:t>
      </w:r>
      <w:hyperlink r:id="rId13" w:history="1">
        <w:r w:rsidRPr="00906122">
          <w:rPr>
            <w:rStyle w:val="Hyperlink"/>
            <w:color w:val="4F81BD" w:themeColor="accent1"/>
            <w:u w:val="single"/>
          </w:rPr>
          <w:t>https://wwwcdn.imo.org/localresources/en/OurWork/Safety/Documents/enavigation/MSC%2085%20-%20annex%2020%20-%20Strategy%20for%20the%20development%20and%20implementation%20of%20e-nav.pdf</w:t>
        </w:r>
      </w:hyperlink>
    </w:p>
    <w:p w14:paraId="64C4AD8D" w14:textId="77777777" w:rsidR="00D556BB" w:rsidRPr="005D57DB" w:rsidRDefault="00D556BB" w:rsidP="00D556BB">
      <w:pPr>
        <w:pStyle w:val="References"/>
        <w:jc w:val="both"/>
        <w:rPr>
          <w:rFonts w:ascii="Calibri" w:hAnsi="Calibri"/>
          <w:lang w:val="es-ES"/>
        </w:rPr>
      </w:pPr>
      <w:bookmarkStart w:id="6" w:name="_Ref160169819"/>
      <w:bookmarkStart w:id="7" w:name="_Ref144985421"/>
      <w:r w:rsidRPr="005D57DB">
        <w:rPr>
          <w:rFonts w:ascii="Calibri" w:hAnsi="Calibri"/>
          <w:lang w:val="es-ES"/>
        </w:rPr>
        <w:t xml:space="preserve">IALA </w:t>
      </w:r>
      <w:proofErr w:type="spellStart"/>
      <w:r w:rsidRPr="005D57DB">
        <w:rPr>
          <w:rFonts w:ascii="Calibri" w:hAnsi="Calibri"/>
          <w:lang w:val="es-ES"/>
        </w:rPr>
        <w:t>Guidelines</w:t>
      </w:r>
      <w:proofErr w:type="spellEnd"/>
      <w:r w:rsidRPr="005D57DB">
        <w:rPr>
          <w:rFonts w:ascii="Calibri" w:hAnsi="Calibri"/>
          <w:lang w:val="es-ES"/>
        </w:rPr>
        <w:t xml:space="preserve"> 1112, https://www.iala-aism.org/product/g1112/</w:t>
      </w:r>
      <w:bookmarkEnd w:id="6"/>
    </w:p>
    <w:p w14:paraId="6842E1EC" w14:textId="77777777" w:rsidR="00D556BB" w:rsidRDefault="00D556BB" w:rsidP="00D556BB">
      <w:pPr>
        <w:pStyle w:val="References"/>
        <w:jc w:val="both"/>
        <w:rPr>
          <w:rStyle w:val="Hyperlink"/>
          <w:rFonts w:ascii="Calibri" w:hAnsi="Calibri"/>
          <w:lang w:val="es-ES"/>
        </w:rPr>
      </w:pPr>
      <w:bookmarkStart w:id="8" w:name="_Ref160173078"/>
      <w:r w:rsidRPr="005D57DB">
        <w:rPr>
          <w:rFonts w:ascii="Calibri" w:hAnsi="Calibri"/>
          <w:lang w:val="es-ES"/>
        </w:rPr>
        <w:t xml:space="preserve">IALA </w:t>
      </w:r>
      <w:proofErr w:type="spellStart"/>
      <w:r w:rsidRPr="005D57DB">
        <w:rPr>
          <w:rFonts w:ascii="Calibri" w:hAnsi="Calibri"/>
          <w:lang w:val="es-ES"/>
        </w:rPr>
        <w:t>Guidelines</w:t>
      </w:r>
      <w:proofErr w:type="spellEnd"/>
      <w:r w:rsidRPr="005D57DB">
        <w:rPr>
          <w:rFonts w:ascii="Calibri" w:hAnsi="Calibri"/>
          <w:lang w:val="es-ES"/>
        </w:rPr>
        <w:t xml:space="preserve"> 1152</w:t>
      </w:r>
      <w:bookmarkEnd w:id="7"/>
      <w:r w:rsidRPr="005D57DB">
        <w:rPr>
          <w:rFonts w:ascii="Calibri" w:hAnsi="Calibri"/>
          <w:lang w:val="es-ES"/>
        </w:rPr>
        <w:t xml:space="preserve">, </w:t>
      </w:r>
      <w:hyperlink r:id="rId14" w:history="1">
        <w:r w:rsidRPr="003744B2">
          <w:rPr>
            <w:rStyle w:val="Hyperlink"/>
            <w:rFonts w:ascii="Calibri" w:hAnsi="Calibri"/>
            <w:lang w:val="es-ES"/>
          </w:rPr>
          <w:t>https://www.iala-aism.org/product/g1152/</w:t>
        </w:r>
      </w:hyperlink>
      <w:bookmarkEnd w:id="8"/>
    </w:p>
    <w:p w14:paraId="0C7276E7" w14:textId="6AB2C235" w:rsidR="00272843" w:rsidRDefault="00272843" w:rsidP="0033510F">
      <w:pPr>
        <w:pStyle w:val="References"/>
        <w:jc w:val="both"/>
        <w:rPr>
          <w:rFonts w:ascii="Calibri" w:hAnsi="Calibri"/>
          <w:lang w:val="es-ES"/>
        </w:rPr>
      </w:pPr>
      <w:r>
        <w:rPr>
          <w:rStyle w:val="Hyperlink"/>
          <w:rFonts w:ascii="Calibri" w:hAnsi="Calibri"/>
          <w:lang w:val="es-ES"/>
        </w:rPr>
        <w:t xml:space="preserve">IALA </w:t>
      </w:r>
      <w:proofErr w:type="spellStart"/>
      <w:r>
        <w:rPr>
          <w:rStyle w:val="Hyperlink"/>
          <w:rFonts w:ascii="Calibri" w:hAnsi="Calibri"/>
          <w:lang w:val="es-ES"/>
        </w:rPr>
        <w:t>Guidelines</w:t>
      </w:r>
      <w:proofErr w:type="spellEnd"/>
      <w:r>
        <w:rPr>
          <w:rStyle w:val="Hyperlink"/>
          <w:rFonts w:ascii="Calibri" w:hAnsi="Calibri"/>
          <w:lang w:val="es-ES"/>
        </w:rPr>
        <w:t xml:space="preserve"> 1180</w:t>
      </w:r>
      <w:r w:rsidR="0033510F" w:rsidRPr="005D57DB">
        <w:rPr>
          <w:rFonts w:ascii="Calibri" w:hAnsi="Calibri"/>
          <w:lang w:val="es-ES"/>
        </w:rPr>
        <w:t xml:space="preserve">, </w:t>
      </w:r>
      <w:hyperlink r:id="rId15" w:history="1">
        <w:r w:rsidR="0033510F" w:rsidRPr="00AF5C15">
          <w:rPr>
            <w:rStyle w:val="Hyperlink"/>
            <w:rFonts w:ascii="Calibri" w:hAnsi="Calibri"/>
            <w:lang w:val="es-ES"/>
          </w:rPr>
          <w:t>https://www.iala-aism.org/product/g1180/</w:t>
        </w:r>
      </w:hyperlink>
    </w:p>
    <w:p w14:paraId="703A2CB7" w14:textId="63E69A65" w:rsidR="00004499" w:rsidRPr="0033510F" w:rsidRDefault="00004499" w:rsidP="0033510F">
      <w:pPr>
        <w:pStyle w:val="References"/>
        <w:jc w:val="both"/>
        <w:rPr>
          <w:rStyle w:val="Hyperlink"/>
          <w:rFonts w:ascii="Calibri" w:hAnsi="Calibri"/>
          <w:lang w:val="es-ES"/>
        </w:rPr>
      </w:pPr>
      <w:r>
        <w:rPr>
          <w:rFonts w:ascii="Calibri" w:hAnsi="Calibri"/>
          <w:lang w:val="es-ES"/>
        </w:rPr>
        <w:t xml:space="preserve">IALA </w:t>
      </w:r>
      <w:proofErr w:type="spellStart"/>
      <w:r>
        <w:rPr>
          <w:rFonts w:ascii="Calibri" w:hAnsi="Calibri"/>
          <w:lang w:val="es-ES"/>
        </w:rPr>
        <w:t>Guidelines</w:t>
      </w:r>
      <w:proofErr w:type="spellEnd"/>
      <w:r>
        <w:rPr>
          <w:rFonts w:ascii="Calibri" w:hAnsi="Calibri"/>
          <w:lang w:val="es-ES"/>
        </w:rPr>
        <w:t xml:space="preserve"> 1129, </w:t>
      </w:r>
      <w:r w:rsidRPr="00004499">
        <w:rPr>
          <w:rFonts w:ascii="Calibri" w:hAnsi="Calibri"/>
          <w:lang w:val="es-ES"/>
        </w:rPr>
        <w:t>https://www.iala-aism.org/product/g1129/</w:t>
      </w:r>
    </w:p>
    <w:p w14:paraId="67A4E1FA" w14:textId="04D62515" w:rsidR="001055C6" w:rsidRPr="0067250F" w:rsidRDefault="0033510F" w:rsidP="00D556BB">
      <w:pPr>
        <w:pStyle w:val="References"/>
        <w:jc w:val="both"/>
        <w:rPr>
          <w:rStyle w:val="Hyperlink"/>
          <w:rFonts w:ascii="Calibri" w:hAnsi="Calibri"/>
          <w:lang w:val="fr-FR"/>
        </w:rPr>
      </w:pPr>
      <w:bookmarkStart w:id="9" w:name="_Ref160171066"/>
      <w:r w:rsidRPr="0067250F">
        <w:rPr>
          <w:rStyle w:val="Hyperlink"/>
          <w:rFonts w:ascii="Calibri" w:hAnsi="Calibri"/>
          <w:lang w:val="fr-FR"/>
        </w:rPr>
        <w:t xml:space="preserve">IALA </w:t>
      </w:r>
      <w:proofErr w:type="spellStart"/>
      <w:r w:rsidRPr="0067250F">
        <w:rPr>
          <w:rStyle w:val="Hyperlink"/>
          <w:rFonts w:ascii="Calibri" w:hAnsi="Calibri"/>
          <w:lang w:val="fr-FR"/>
        </w:rPr>
        <w:t>Recommendation</w:t>
      </w:r>
      <w:proofErr w:type="spellEnd"/>
      <w:r w:rsidRPr="0067250F">
        <w:rPr>
          <w:rStyle w:val="Hyperlink"/>
          <w:rFonts w:ascii="Calibri" w:hAnsi="Calibri"/>
          <w:lang w:val="fr-FR"/>
        </w:rPr>
        <w:t xml:space="preserve"> </w:t>
      </w:r>
      <w:r w:rsidR="001055C6" w:rsidRPr="0067250F">
        <w:rPr>
          <w:rStyle w:val="Hyperlink"/>
          <w:rFonts w:ascii="Calibri" w:hAnsi="Calibri"/>
          <w:lang w:val="fr-FR"/>
        </w:rPr>
        <w:t>1022</w:t>
      </w:r>
      <w:bookmarkEnd w:id="9"/>
      <w:r w:rsidRPr="0067250F">
        <w:rPr>
          <w:rStyle w:val="Hyperlink"/>
          <w:rFonts w:ascii="Calibri" w:hAnsi="Calibri"/>
          <w:lang w:val="fr-FR"/>
        </w:rPr>
        <w:t xml:space="preserve">, </w:t>
      </w:r>
      <w:hyperlink r:id="rId16" w:history="1">
        <w:r w:rsidR="00E9407A" w:rsidRPr="0067250F">
          <w:rPr>
            <w:rStyle w:val="Hyperlink"/>
            <w:rFonts w:ascii="Calibri" w:hAnsi="Calibri"/>
            <w:lang w:val="fr-FR"/>
          </w:rPr>
          <w:t>https://www.iala-aism.org/product/r1022/</w:t>
        </w:r>
      </w:hyperlink>
    </w:p>
    <w:p w14:paraId="7A0B451D" w14:textId="70F137D1" w:rsidR="00E9407A" w:rsidRDefault="00E9407A" w:rsidP="00D556BB">
      <w:pPr>
        <w:pStyle w:val="References"/>
        <w:jc w:val="both"/>
        <w:rPr>
          <w:rStyle w:val="Hyperlink"/>
          <w:rFonts w:ascii="Calibri" w:hAnsi="Calibri"/>
        </w:rPr>
      </w:pPr>
      <w:r>
        <w:rPr>
          <w:rStyle w:val="Hyperlink"/>
          <w:rFonts w:ascii="Calibri" w:hAnsi="Calibri"/>
        </w:rPr>
        <w:lastRenderedPageBreak/>
        <w:t>13</w:t>
      </w:r>
      <w:r w:rsidRPr="00E9407A">
        <w:rPr>
          <w:rStyle w:val="Hyperlink"/>
          <w:rFonts w:ascii="Calibri" w:hAnsi="Calibri"/>
          <w:vertAlign w:val="superscript"/>
        </w:rPr>
        <w:t>th</w:t>
      </w:r>
      <w:r>
        <w:rPr>
          <w:rStyle w:val="Hyperlink"/>
          <w:rFonts w:ascii="Calibri" w:hAnsi="Calibri"/>
        </w:rPr>
        <w:t xml:space="preserve"> Meeting of the IHO sub-committee on the World-Wide Navigational Warning Service</w:t>
      </w:r>
    </w:p>
    <w:p w14:paraId="23D1C9D0" w14:textId="77777777" w:rsidR="0010530C" w:rsidRDefault="0010530C" w:rsidP="0010530C">
      <w:pPr>
        <w:pStyle w:val="References"/>
        <w:jc w:val="both"/>
        <w:rPr>
          <w:rStyle w:val="Hyperlink"/>
          <w:rFonts w:ascii="Calibri" w:hAnsi="Calibri"/>
        </w:rPr>
      </w:pPr>
      <w:r>
        <w:rPr>
          <w:rStyle w:val="Hyperlink"/>
          <w:rFonts w:ascii="Calibri" w:hAnsi="Calibri"/>
        </w:rPr>
        <w:t xml:space="preserve">IMO SOLAS Consolidated Edition 2014 </w:t>
      </w:r>
    </w:p>
    <w:p w14:paraId="11A1B121" w14:textId="7BF557ED" w:rsidR="00DD6D01" w:rsidRDefault="00DD6D01" w:rsidP="0010530C">
      <w:pPr>
        <w:pStyle w:val="References"/>
        <w:jc w:val="both"/>
        <w:rPr>
          <w:rStyle w:val="Hyperlink"/>
          <w:rFonts w:ascii="Calibri" w:hAnsi="Calibri"/>
        </w:rPr>
      </w:pPr>
      <w:r>
        <w:rPr>
          <w:rStyle w:val="Hyperlink"/>
          <w:rFonts w:ascii="Calibri" w:hAnsi="Calibri"/>
        </w:rPr>
        <w:t xml:space="preserve">EUROCAE ED-259A </w:t>
      </w:r>
      <w:r w:rsidRPr="00DD6D01">
        <w:rPr>
          <w:rStyle w:val="Hyperlink"/>
          <w:rFonts w:ascii="Calibri" w:hAnsi="Calibri"/>
        </w:rPr>
        <w:t>- Minimum Operational Performance Standard</w:t>
      </w:r>
      <w:r>
        <w:rPr>
          <w:rStyle w:val="Hyperlink"/>
          <w:rFonts w:ascii="Calibri" w:hAnsi="Calibri"/>
        </w:rPr>
        <w:t xml:space="preserve"> (MOPS)</w:t>
      </w:r>
      <w:r w:rsidRPr="00DD6D01">
        <w:rPr>
          <w:rStyle w:val="Hyperlink"/>
          <w:rFonts w:ascii="Calibri" w:hAnsi="Calibri"/>
        </w:rPr>
        <w:t xml:space="preserve"> for Dual-Frequency Multi-Constellation Satellite-Based Augmentation System Airborne Equipment</w:t>
      </w:r>
      <w:r>
        <w:rPr>
          <w:rStyle w:val="Hyperlink"/>
          <w:rFonts w:ascii="Calibri" w:hAnsi="Calibri"/>
        </w:rPr>
        <w:t xml:space="preserve"> 2023 </w:t>
      </w:r>
      <w:hyperlink r:id="rId17" w:history="1">
        <w:r w:rsidRPr="00DD6D01">
          <w:rPr>
            <w:rStyle w:val="Hyperlink"/>
            <w:rFonts w:ascii="Calibri" w:hAnsi="Calibri"/>
            <w:color w:val="4F81BD" w:themeColor="accent1"/>
            <w:u w:val="single"/>
          </w:rPr>
          <w:t>https://eshop.eurocae.net/eurocae-documents-and-reports/ed-259a/</w:t>
        </w:r>
      </w:hyperlink>
    </w:p>
    <w:p w14:paraId="24B465D9" w14:textId="752EBFF4" w:rsidR="00DD6D01" w:rsidRPr="0033510F" w:rsidRDefault="00DD6D01" w:rsidP="0010530C">
      <w:pPr>
        <w:pStyle w:val="References"/>
        <w:jc w:val="both"/>
        <w:rPr>
          <w:rFonts w:ascii="Calibri" w:hAnsi="Calibri"/>
        </w:rPr>
      </w:pPr>
      <w:r>
        <w:rPr>
          <w:rFonts w:ascii="Calibri" w:hAnsi="Calibri"/>
        </w:rPr>
        <w:t xml:space="preserve">ICAO SARPS </w:t>
      </w:r>
      <w:r w:rsidRPr="00DD6D01">
        <w:rPr>
          <w:rFonts w:ascii="Calibri" w:hAnsi="Calibri"/>
        </w:rPr>
        <w:t xml:space="preserve">Amendment 93 to Annex 10 —Aeronautical Telecommunications, Volume I —Radio Navigation Aids </w:t>
      </w:r>
      <w:proofErr w:type="spellStart"/>
      <w:r w:rsidRPr="00DD6D01">
        <w:rPr>
          <w:rFonts w:ascii="Calibri" w:hAnsi="Calibri"/>
        </w:rPr>
        <w:t>cont</w:t>
      </w:r>
      <w:proofErr w:type="spellEnd"/>
      <w:r>
        <w:rPr>
          <w:rFonts w:ascii="Calibri" w:hAnsi="Calibri"/>
        </w:rPr>
        <w:t xml:space="preserve"> (2023).</w:t>
      </w:r>
    </w:p>
    <w:p w14:paraId="7A8D2F27" w14:textId="77777777" w:rsidR="00A446C9" w:rsidRPr="007A395D" w:rsidRDefault="00A446C9" w:rsidP="00605E43">
      <w:pPr>
        <w:pStyle w:val="Heading1"/>
      </w:pPr>
      <w:r w:rsidRPr="007A395D">
        <w:t>Action requested of the Committee</w:t>
      </w:r>
    </w:p>
    <w:p w14:paraId="1556E528" w14:textId="45578617" w:rsidR="00F25BF4" w:rsidRPr="007A395D" w:rsidRDefault="00F25BF4" w:rsidP="00A446C9">
      <w:pPr>
        <w:pStyle w:val="BodyText"/>
        <w:rPr>
          <w:rFonts w:ascii="Calibri" w:hAnsi="Calibri"/>
        </w:rPr>
      </w:pPr>
      <w:r w:rsidRPr="007A395D">
        <w:rPr>
          <w:rFonts w:ascii="Calibri" w:hAnsi="Calibri"/>
        </w:rPr>
        <w:t>The Committee is requested to:</w:t>
      </w:r>
    </w:p>
    <w:p w14:paraId="5A12B6B1" w14:textId="77777777" w:rsidR="00320720" w:rsidRDefault="00320720" w:rsidP="00320720">
      <w:pPr>
        <w:pStyle w:val="List1"/>
        <w:numPr>
          <w:ilvl w:val="0"/>
          <w:numId w:val="17"/>
        </w:numPr>
        <w:rPr>
          <w:rFonts w:ascii="Calibri" w:hAnsi="Calibri"/>
        </w:rPr>
      </w:pPr>
      <w:r>
        <w:rPr>
          <w:rFonts w:ascii="Calibri" w:hAnsi="Calibri"/>
        </w:rPr>
        <w:t xml:space="preserve">Note the information provided in this paper and specifically the analysis done on the common requirements any augmentation system shall be complied with for the recognition by </w:t>
      </w:r>
      <w:proofErr w:type="gramStart"/>
      <w:r>
        <w:rPr>
          <w:rFonts w:ascii="Calibri" w:hAnsi="Calibri"/>
        </w:rPr>
        <w:t>IMO;</w:t>
      </w:r>
      <w:proofErr w:type="gramEnd"/>
    </w:p>
    <w:p w14:paraId="1AF79824" w14:textId="2F8BEAD2" w:rsidR="00320720" w:rsidRPr="007A395D" w:rsidRDefault="00320720" w:rsidP="00320720">
      <w:pPr>
        <w:pStyle w:val="List1"/>
        <w:numPr>
          <w:ilvl w:val="0"/>
          <w:numId w:val="17"/>
        </w:numPr>
        <w:rPr>
          <w:rFonts w:ascii="Calibri" w:hAnsi="Calibri"/>
        </w:rPr>
      </w:pPr>
      <w:r>
        <w:rPr>
          <w:rFonts w:ascii="Calibri" w:hAnsi="Calibri"/>
        </w:rPr>
        <w:t>Support the process of “</w:t>
      </w:r>
      <w:r w:rsidRPr="008F73EB">
        <w:rPr>
          <w:rFonts w:ascii="Calibri" w:hAnsi="Calibri"/>
          <w:b/>
        </w:rPr>
        <w:t>Development of procedures and requirements for the recognition of augmentation systems in the World-wide radionavigation system</w:t>
      </w:r>
      <w:r>
        <w:rPr>
          <w:rFonts w:ascii="Calibri" w:hAnsi="Calibri"/>
        </w:rPr>
        <w:t>” by preparing an input/information paper for submission to IMO NCSR</w:t>
      </w:r>
      <w:r w:rsidR="00234193">
        <w:rPr>
          <w:rFonts w:ascii="Calibri" w:hAnsi="Calibri"/>
        </w:rPr>
        <w:t xml:space="preserve"> </w:t>
      </w:r>
      <w:r>
        <w:rPr>
          <w:rFonts w:ascii="Calibri" w:hAnsi="Calibri"/>
        </w:rPr>
        <w:t>12</w:t>
      </w:r>
      <w:r w:rsidR="00234193" w:rsidRPr="00906122">
        <w:rPr>
          <w:rFonts w:ascii="Calibri" w:hAnsi="Calibri"/>
          <w:vertAlign w:val="superscript"/>
        </w:rPr>
        <w:t>th</w:t>
      </w:r>
      <w:r w:rsidR="00234193">
        <w:rPr>
          <w:rFonts w:ascii="Calibri" w:hAnsi="Calibri"/>
        </w:rPr>
        <w:t xml:space="preserve"> session</w:t>
      </w:r>
      <w:r>
        <w:rPr>
          <w:rFonts w:ascii="Calibri" w:hAnsi="Calibri"/>
        </w:rPr>
        <w:t xml:space="preserve"> in 2025 based on the analysis provided in the original input paper presented in ENG17, the current one as well as the work done in Committees ENG18 and ENG19 among the interested IALA members, potentially in collaboration with an IMO </w:t>
      </w:r>
      <w:r w:rsidR="00BE358F">
        <w:rPr>
          <w:rFonts w:ascii="Calibri" w:hAnsi="Calibri"/>
        </w:rPr>
        <w:t>Member State</w:t>
      </w:r>
      <w:r>
        <w:rPr>
          <w:rFonts w:ascii="Calibri" w:hAnsi="Calibri"/>
        </w:rPr>
        <w:t xml:space="preserve">. </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16AE6650" w14:textId="32E2B268" w:rsidR="004D1D85" w:rsidRPr="007A395D" w:rsidRDefault="004D1D85" w:rsidP="00C768B8">
      <w:pPr>
        <w:pStyle w:val="AnnexHeading3"/>
        <w:numPr>
          <w:ilvl w:val="0"/>
          <w:numId w:val="0"/>
        </w:numPr>
        <w:ind w:left="992"/>
        <w:rPr>
          <w:rFonts w:ascii="Calibri" w:hAnsi="Calibri"/>
          <w:lang w:eastAsia="en-US"/>
        </w:rPr>
      </w:pPr>
    </w:p>
    <w:sectPr w:rsidR="004D1D85" w:rsidRPr="007A395D" w:rsidSect="0082480E">
      <w:headerReference w:type="even" r:id="rId18"/>
      <w:headerReference w:type="default" r:id="rId19"/>
      <w:footerReference w:type="default" r:id="rId20"/>
      <w:head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019F1" w14:textId="77777777" w:rsidR="009F1F85" w:rsidRDefault="009F1F85" w:rsidP="00362CD9">
      <w:r>
        <w:separator/>
      </w:r>
    </w:p>
  </w:endnote>
  <w:endnote w:type="continuationSeparator" w:id="0">
    <w:p w14:paraId="42168F81" w14:textId="77777777" w:rsidR="009F1F85" w:rsidRDefault="009F1F8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11DDC337" w:rsidR="00362CD9" w:rsidRPr="00036B9E" w:rsidRDefault="00EC2A4F">
    <w:pPr>
      <w:pStyle w:val="Footer"/>
      <w:rPr>
        <w:rFonts w:ascii="Calibri" w:hAnsi="Calibri"/>
      </w:rPr>
    </w:pPr>
    <w:r>
      <w:rPr>
        <w:rFonts w:ascii="Calibri" w:hAnsi="Calibri"/>
        <w:sz w:val="20"/>
        <w:szCs w:val="20"/>
      </w:rPr>
      <w:t>Discussion on Procedures and Requirements for the Recognition of Augmentation Systems in the WWRNS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556B7" w14:textId="77777777" w:rsidR="009F1F85" w:rsidRDefault="009F1F85" w:rsidP="00362CD9">
      <w:r>
        <w:separator/>
      </w:r>
    </w:p>
  </w:footnote>
  <w:footnote w:type="continuationSeparator" w:id="0">
    <w:p w14:paraId="6A1BBFAE" w14:textId="77777777" w:rsidR="009F1F85" w:rsidRDefault="009F1F8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67250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7250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7250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20924"/>
    <w:multiLevelType w:val="hybridMultilevel"/>
    <w:tmpl w:val="B77EEA36"/>
    <w:lvl w:ilvl="0" w:tplc="D6C02710">
      <w:start w:val="1"/>
      <w:numFmt w:val="bullet"/>
      <w:lvlText w:val="•"/>
      <w:lvlJc w:val="left"/>
      <w:pPr>
        <w:tabs>
          <w:tab w:val="num" w:pos="720"/>
        </w:tabs>
        <w:ind w:left="720" w:hanging="360"/>
      </w:pPr>
      <w:rPr>
        <w:rFonts w:ascii="Arial" w:hAnsi="Arial" w:hint="default"/>
      </w:rPr>
    </w:lvl>
    <w:lvl w:ilvl="1" w:tplc="E7BE1B78" w:tentative="1">
      <w:start w:val="1"/>
      <w:numFmt w:val="bullet"/>
      <w:lvlText w:val="•"/>
      <w:lvlJc w:val="left"/>
      <w:pPr>
        <w:tabs>
          <w:tab w:val="num" w:pos="1440"/>
        </w:tabs>
        <w:ind w:left="1440" w:hanging="360"/>
      </w:pPr>
      <w:rPr>
        <w:rFonts w:ascii="Arial" w:hAnsi="Arial" w:hint="default"/>
      </w:rPr>
    </w:lvl>
    <w:lvl w:ilvl="2" w:tplc="52D89CDC" w:tentative="1">
      <w:start w:val="1"/>
      <w:numFmt w:val="bullet"/>
      <w:lvlText w:val="•"/>
      <w:lvlJc w:val="left"/>
      <w:pPr>
        <w:tabs>
          <w:tab w:val="num" w:pos="2160"/>
        </w:tabs>
        <w:ind w:left="2160" w:hanging="360"/>
      </w:pPr>
      <w:rPr>
        <w:rFonts w:ascii="Arial" w:hAnsi="Arial" w:hint="default"/>
      </w:rPr>
    </w:lvl>
    <w:lvl w:ilvl="3" w:tplc="1CD46A30" w:tentative="1">
      <w:start w:val="1"/>
      <w:numFmt w:val="bullet"/>
      <w:lvlText w:val="•"/>
      <w:lvlJc w:val="left"/>
      <w:pPr>
        <w:tabs>
          <w:tab w:val="num" w:pos="2880"/>
        </w:tabs>
        <w:ind w:left="2880" w:hanging="360"/>
      </w:pPr>
      <w:rPr>
        <w:rFonts w:ascii="Arial" w:hAnsi="Arial" w:hint="default"/>
      </w:rPr>
    </w:lvl>
    <w:lvl w:ilvl="4" w:tplc="527E04F0" w:tentative="1">
      <w:start w:val="1"/>
      <w:numFmt w:val="bullet"/>
      <w:lvlText w:val="•"/>
      <w:lvlJc w:val="left"/>
      <w:pPr>
        <w:tabs>
          <w:tab w:val="num" w:pos="3600"/>
        </w:tabs>
        <w:ind w:left="3600" w:hanging="360"/>
      </w:pPr>
      <w:rPr>
        <w:rFonts w:ascii="Arial" w:hAnsi="Arial" w:hint="default"/>
      </w:rPr>
    </w:lvl>
    <w:lvl w:ilvl="5" w:tplc="DEE233D0" w:tentative="1">
      <w:start w:val="1"/>
      <w:numFmt w:val="bullet"/>
      <w:lvlText w:val="•"/>
      <w:lvlJc w:val="left"/>
      <w:pPr>
        <w:tabs>
          <w:tab w:val="num" w:pos="4320"/>
        </w:tabs>
        <w:ind w:left="4320" w:hanging="360"/>
      </w:pPr>
      <w:rPr>
        <w:rFonts w:ascii="Arial" w:hAnsi="Arial" w:hint="default"/>
      </w:rPr>
    </w:lvl>
    <w:lvl w:ilvl="6" w:tplc="2C2E4DC0" w:tentative="1">
      <w:start w:val="1"/>
      <w:numFmt w:val="bullet"/>
      <w:lvlText w:val="•"/>
      <w:lvlJc w:val="left"/>
      <w:pPr>
        <w:tabs>
          <w:tab w:val="num" w:pos="5040"/>
        </w:tabs>
        <w:ind w:left="5040" w:hanging="360"/>
      </w:pPr>
      <w:rPr>
        <w:rFonts w:ascii="Arial" w:hAnsi="Arial" w:hint="default"/>
      </w:rPr>
    </w:lvl>
    <w:lvl w:ilvl="7" w:tplc="0DD28BFC" w:tentative="1">
      <w:start w:val="1"/>
      <w:numFmt w:val="bullet"/>
      <w:lvlText w:val="•"/>
      <w:lvlJc w:val="left"/>
      <w:pPr>
        <w:tabs>
          <w:tab w:val="num" w:pos="5760"/>
        </w:tabs>
        <w:ind w:left="5760" w:hanging="360"/>
      </w:pPr>
      <w:rPr>
        <w:rFonts w:ascii="Arial" w:hAnsi="Arial" w:hint="default"/>
      </w:rPr>
    </w:lvl>
    <w:lvl w:ilvl="8" w:tplc="D932E97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062D92"/>
    <w:multiLevelType w:val="hybridMultilevel"/>
    <w:tmpl w:val="5030AE4C"/>
    <w:lvl w:ilvl="0" w:tplc="2608499C">
      <w:start w:val="1"/>
      <w:numFmt w:val="decimal"/>
      <w:lvlText w:val="%1)"/>
      <w:lvlJc w:val="left"/>
      <w:pPr>
        <w:ind w:left="405" w:hanging="360"/>
      </w:pPr>
      <w:rPr>
        <w:rFonts w:hint="default"/>
      </w:rPr>
    </w:lvl>
    <w:lvl w:ilvl="1" w:tplc="10000019" w:tentative="1">
      <w:start w:val="1"/>
      <w:numFmt w:val="lowerLetter"/>
      <w:lvlText w:val="%2."/>
      <w:lvlJc w:val="left"/>
      <w:pPr>
        <w:ind w:left="1125" w:hanging="360"/>
      </w:pPr>
    </w:lvl>
    <w:lvl w:ilvl="2" w:tplc="1000001B" w:tentative="1">
      <w:start w:val="1"/>
      <w:numFmt w:val="lowerRoman"/>
      <w:lvlText w:val="%3."/>
      <w:lvlJc w:val="right"/>
      <w:pPr>
        <w:ind w:left="1845" w:hanging="180"/>
      </w:pPr>
    </w:lvl>
    <w:lvl w:ilvl="3" w:tplc="1000000F" w:tentative="1">
      <w:start w:val="1"/>
      <w:numFmt w:val="decimal"/>
      <w:lvlText w:val="%4."/>
      <w:lvlJc w:val="left"/>
      <w:pPr>
        <w:ind w:left="2565" w:hanging="360"/>
      </w:pPr>
    </w:lvl>
    <w:lvl w:ilvl="4" w:tplc="10000019" w:tentative="1">
      <w:start w:val="1"/>
      <w:numFmt w:val="lowerLetter"/>
      <w:lvlText w:val="%5."/>
      <w:lvlJc w:val="left"/>
      <w:pPr>
        <w:ind w:left="3285" w:hanging="360"/>
      </w:pPr>
    </w:lvl>
    <w:lvl w:ilvl="5" w:tplc="1000001B" w:tentative="1">
      <w:start w:val="1"/>
      <w:numFmt w:val="lowerRoman"/>
      <w:lvlText w:val="%6."/>
      <w:lvlJc w:val="right"/>
      <w:pPr>
        <w:ind w:left="4005" w:hanging="180"/>
      </w:pPr>
    </w:lvl>
    <w:lvl w:ilvl="6" w:tplc="1000000F" w:tentative="1">
      <w:start w:val="1"/>
      <w:numFmt w:val="decimal"/>
      <w:lvlText w:val="%7."/>
      <w:lvlJc w:val="left"/>
      <w:pPr>
        <w:ind w:left="4725" w:hanging="360"/>
      </w:pPr>
    </w:lvl>
    <w:lvl w:ilvl="7" w:tplc="10000019" w:tentative="1">
      <w:start w:val="1"/>
      <w:numFmt w:val="lowerLetter"/>
      <w:lvlText w:val="%8."/>
      <w:lvlJc w:val="left"/>
      <w:pPr>
        <w:ind w:left="5445" w:hanging="360"/>
      </w:pPr>
    </w:lvl>
    <w:lvl w:ilvl="8" w:tplc="1000001B" w:tentative="1">
      <w:start w:val="1"/>
      <w:numFmt w:val="lowerRoman"/>
      <w:lvlText w:val="%9."/>
      <w:lvlJc w:val="right"/>
      <w:pPr>
        <w:ind w:left="6165" w:hanging="180"/>
      </w:p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C045FD"/>
    <w:multiLevelType w:val="hybridMultilevel"/>
    <w:tmpl w:val="163C5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51A5EC1"/>
    <w:multiLevelType w:val="hybridMultilevel"/>
    <w:tmpl w:val="9A702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C52AFA"/>
    <w:multiLevelType w:val="hybridMultilevel"/>
    <w:tmpl w:val="29D8A9C0"/>
    <w:lvl w:ilvl="0" w:tplc="A5089C70">
      <w:start w:val="1"/>
      <w:numFmt w:val="lowerLetter"/>
      <w:lvlText w:val="%1)"/>
      <w:lvlJc w:val="left"/>
      <w:pPr>
        <w:ind w:left="720" w:hanging="360"/>
      </w:pPr>
      <w:rPr>
        <w:rFonts w:ascii="Calibri" w:eastAsia="Calibr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15885521">
    <w:abstractNumId w:val="16"/>
  </w:num>
  <w:num w:numId="2" w16cid:durableId="795299070">
    <w:abstractNumId w:val="12"/>
  </w:num>
  <w:num w:numId="3" w16cid:durableId="129978852">
    <w:abstractNumId w:val="2"/>
  </w:num>
  <w:num w:numId="4" w16cid:durableId="1699313965">
    <w:abstractNumId w:val="20"/>
  </w:num>
  <w:num w:numId="5" w16cid:durableId="1334335939">
    <w:abstractNumId w:val="8"/>
  </w:num>
  <w:num w:numId="6" w16cid:durableId="1304844542">
    <w:abstractNumId w:val="7"/>
  </w:num>
  <w:num w:numId="7" w16cid:durableId="1073502286">
    <w:abstractNumId w:val="14"/>
  </w:num>
  <w:num w:numId="8" w16cid:durableId="1872453391">
    <w:abstractNumId w:val="13"/>
  </w:num>
  <w:num w:numId="9" w16cid:durableId="1026560291">
    <w:abstractNumId w:val="17"/>
  </w:num>
  <w:num w:numId="10" w16cid:durableId="546184337">
    <w:abstractNumId w:val="4"/>
  </w:num>
  <w:num w:numId="11" w16cid:durableId="1408919963">
    <w:abstractNumId w:val="6"/>
  </w:num>
  <w:num w:numId="12" w16cid:durableId="73867475">
    <w:abstractNumId w:val="15"/>
  </w:num>
  <w:num w:numId="13" w16cid:durableId="15734405">
    <w:abstractNumId w:val="10"/>
  </w:num>
  <w:num w:numId="14" w16cid:durableId="523639360">
    <w:abstractNumId w:val="9"/>
  </w:num>
  <w:num w:numId="15" w16cid:durableId="599340071">
    <w:abstractNumId w:val="4"/>
  </w:num>
  <w:num w:numId="16" w16cid:durableId="1683622515">
    <w:abstractNumId w:val="11"/>
  </w:num>
  <w:num w:numId="17" w16cid:durableId="258375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2151534">
    <w:abstractNumId w:val="0"/>
  </w:num>
  <w:num w:numId="19" w16cid:durableId="384331692">
    <w:abstractNumId w:val="19"/>
  </w:num>
  <w:num w:numId="20" w16cid:durableId="1834561811">
    <w:abstractNumId w:val="5"/>
  </w:num>
  <w:num w:numId="21" w16cid:durableId="1681808503">
    <w:abstractNumId w:val="3"/>
  </w:num>
  <w:num w:numId="22" w16cid:durableId="506359874">
    <w:abstractNumId w:val="1"/>
  </w:num>
  <w:num w:numId="23" w16cid:durableId="1108311277">
    <w:abstractNumId w:val="18"/>
  </w:num>
  <w:num w:numId="24" w16cid:durableId="54934032">
    <w:abstractNumId w:val="14"/>
  </w:num>
  <w:num w:numId="25" w16cid:durableId="1439637248">
    <w:abstractNumId w:val="14"/>
  </w:num>
  <w:num w:numId="26" w16cid:durableId="73335202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499"/>
    <w:rsid w:val="000049D8"/>
    <w:rsid w:val="00023F46"/>
    <w:rsid w:val="000240FF"/>
    <w:rsid w:val="00026AAB"/>
    <w:rsid w:val="000308D7"/>
    <w:rsid w:val="00036A03"/>
    <w:rsid w:val="00036B9E"/>
    <w:rsid w:val="00037A63"/>
    <w:rsid w:val="00037DF4"/>
    <w:rsid w:val="0004700E"/>
    <w:rsid w:val="0005525B"/>
    <w:rsid w:val="000556C5"/>
    <w:rsid w:val="000601B9"/>
    <w:rsid w:val="0007088E"/>
    <w:rsid w:val="00070C13"/>
    <w:rsid w:val="000715C9"/>
    <w:rsid w:val="00080241"/>
    <w:rsid w:val="00084410"/>
    <w:rsid w:val="00084F33"/>
    <w:rsid w:val="000A40AC"/>
    <w:rsid w:val="000A77A7"/>
    <w:rsid w:val="000B1707"/>
    <w:rsid w:val="000C1B3E"/>
    <w:rsid w:val="000C349E"/>
    <w:rsid w:val="000E01A3"/>
    <w:rsid w:val="000E34F9"/>
    <w:rsid w:val="000E50F1"/>
    <w:rsid w:val="000E7EA2"/>
    <w:rsid w:val="000F5CBA"/>
    <w:rsid w:val="000F6B52"/>
    <w:rsid w:val="0010530C"/>
    <w:rsid w:val="001055C6"/>
    <w:rsid w:val="00110AE7"/>
    <w:rsid w:val="00115222"/>
    <w:rsid w:val="00116DB6"/>
    <w:rsid w:val="00123D01"/>
    <w:rsid w:val="00124B14"/>
    <w:rsid w:val="001417CE"/>
    <w:rsid w:val="00141B55"/>
    <w:rsid w:val="00146569"/>
    <w:rsid w:val="00162875"/>
    <w:rsid w:val="00163237"/>
    <w:rsid w:val="001749FB"/>
    <w:rsid w:val="00177F4D"/>
    <w:rsid w:val="00180DDA"/>
    <w:rsid w:val="00194428"/>
    <w:rsid w:val="001A0EFA"/>
    <w:rsid w:val="001A7937"/>
    <w:rsid w:val="001B2615"/>
    <w:rsid w:val="001B2A2D"/>
    <w:rsid w:val="001B7109"/>
    <w:rsid w:val="001B737D"/>
    <w:rsid w:val="001B75BA"/>
    <w:rsid w:val="001C44A3"/>
    <w:rsid w:val="001C7A7C"/>
    <w:rsid w:val="001E0E15"/>
    <w:rsid w:val="001F528A"/>
    <w:rsid w:val="001F704E"/>
    <w:rsid w:val="00201026"/>
    <w:rsid w:val="00201722"/>
    <w:rsid w:val="00204F53"/>
    <w:rsid w:val="0020557F"/>
    <w:rsid w:val="002125B0"/>
    <w:rsid w:val="00214D01"/>
    <w:rsid w:val="00234193"/>
    <w:rsid w:val="00236C0E"/>
    <w:rsid w:val="00243228"/>
    <w:rsid w:val="00247131"/>
    <w:rsid w:val="00250052"/>
    <w:rsid w:val="00250FA7"/>
    <w:rsid w:val="00251483"/>
    <w:rsid w:val="00255CAA"/>
    <w:rsid w:val="002617D9"/>
    <w:rsid w:val="00262410"/>
    <w:rsid w:val="00262F32"/>
    <w:rsid w:val="00264305"/>
    <w:rsid w:val="00272843"/>
    <w:rsid w:val="00280C5C"/>
    <w:rsid w:val="00280E74"/>
    <w:rsid w:val="0028136D"/>
    <w:rsid w:val="0028746F"/>
    <w:rsid w:val="002A0346"/>
    <w:rsid w:val="002A4487"/>
    <w:rsid w:val="002B49E9"/>
    <w:rsid w:val="002C632E"/>
    <w:rsid w:val="002C7E05"/>
    <w:rsid w:val="002D3E8B"/>
    <w:rsid w:val="002D4575"/>
    <w:rsid w:val="002D5C0C"/>
    <w:rsid w:val="002E03D1"/>
    <w:rsid w:val="002E6B74"/>
    <w:rsid w:val="002E6FCA"/>
    <w:rsid w:val="002F6780"/>
    <w:rsid w:val="002F795A"/>
    <w:rsid w:val="00311CA9"/>
    <w:rsid w:val="003164EA"/>
    <w:rsid w:val="00320720"/>
    <w:rsid w:val="0033510F"/>
    <w:rsid w:val="00355E91"/>
    <w:rsid w:val="00356CD0"/>
    <w:rsid w:val="00357420"/>
    <w:rsid w:val="00357EE1"/>
    <w:rsid w:val="00360A2D"/>
    <w:rsid w:val="00362CD9"/>
    <w:rsid w:val="003647AE"/>
    <w:rsid w:val="003736F8"/>
    <w:rsid w:val="003761CA"/>
    <w:rsid w:val="00380DAF"/>
    <w:rsid w:val="003972CE"/>
    <w:rsid w:val="003B28F5"/>
    <w:rsid w:val="003B7B7D"/>
    <w:rsid w:val="003C54CB"/>
    <w:rsid w:val="003C7A2A"/>
    <w:rsid w:val="003D2DC1"/>
    <w:rsid w:val="003D69D0"/>
    <w:rsid w:val="003F2918"/>
    <w:rsid w:val="003F430E"/>
    <w:rsid w:val="003F5035"/>
    <w:rsid w:val="00406B03"/>
    <w:rsid w:val="0041088C"/>
    <w:rsid w:val="00412DD0"/>
    <w:rsid w:val="00420A38"/>
    <w:rsid w:val="00431B19"/>
    <w:rsid w:val="004424ED"/>
    <w:rsid w:val="0045017A"/>
    <w:rsid w:val="00455014"/>
    <w:rsid w:val="004661AD"/>
    <w:rsid w:val="00467617"/>
    <w:rsid w:val="00481FC3"/>
    <w:rsid w:val="0048773A"/>
    <w:rsid w:val="00494057"/>
    <w:rsid w:val="0049645C"/>
    <w:rsid w:val="004A5B2D"/>
    <w:rsid w:val="004A6C1D"/>
    <w:rsid w:val="004C6D6D"/>
    <w:rsid w:val="004D0BE6"/>
    <w:rsid w:val="004D1D85"/>
    <w:rsid w:val="004D3C3A"/>
    <w:rsid w:val="004E1CD1"/>
    <w:rsid w:val="004E3F7C"/>
    <w:rsid w:val="004F6EB7"/>
    <w:rsid w:val="004F7EFC"/>
    <w:rsid w:val="00507BBB"/>
    <w:rsid w:val="005107EB"/>
    <w:rsid w:val="00511277"/>
    <w:rsid w:val="00521345"/>
    <w:rsid w:val="005256CF"/>
    <w:rsid w:val="00526DF0"/>
    <w:rsid w:val="00527AB3"/>
    <w:rsid w:val="0054101E"/>
    <w:rsid w:val="00543696"/>
    <w:rsid w:val="00545CC4"/>
    <w:rsid w:val="00551AFB"/>
    <w:rsid w:val="00551FFF"/>
    <w:rsid w:val="00555F5C"/>
    <w:rsid w:val="005607A2"/>
    <w:rsid w:val="00562213"/>
    <w:rsid w:val="00565B69"/>
    <w:rsid w:val="00566437"/>
    <w:rsid w:val="0057198B"/>
    <w:rsid w:val="0057227F"/>
    <w:rsid w:val="00573160"/>
    <w:rsid w:val="00573CFE"/>
    <w:rsid w:val="0057460F"/>
    <w:rsid w:val="005969F2"/>
    <w:rsid w:val="00597FAE"/>
    <w:rsid w:val="005A5890"/>
    <w:rsid w:val="005B2602"/>
    <w:rsid w:val="005B32A3"/>
    <w:rsid w:val="005C0D44"/>
    <w:rsid w:val="005C566C"/>
    <w:rsid w:val="005C7E69"/>
    <w:rsid w:val="005E01D1"/>
    <w:rsid w:val="005E24EA"/>
    <w:rsid w:val="005E250A"/>
    <w:rsid w:val="005E262D"/>
    <w:rsid w:val="005E5F43"/>
    <w:rsid w:val="005F05D2"/>
    <w:rsid w:val="005F23D3"/>
    <w:rsid w:val="005F296F"/>
    <w:rsid w:val="005F5F11"/>
    <w:rsid w:val="005F7E20"/>
    <w:rsid w:val="00605E43"/>
    <w:rsid w:val="006153BB"/>
    <w:rsid w:val="0061668F"/>
    <w:rsid w:val="00631C4D"/>
    <w:rsid w:val="00645030"/>
    <w:rsid w:val="006557D5"/>
    <w:rsid w:val="006625E6"/>
    <w:rsid w:val="006652C3"/>
    <w:rsid w:val="00667724"/>
    <w:rsid w:val="00670F8A"/>
    <w:rsid w:val="0067250F"/>
    <w:rsid w:val="00676CDD"/>
    <w:rsid w:val="00691FD0"/>
    <w:rsid w:val="00692148"/>
    <w:rsid w:val="006938E1"/>
    <w:rsid w:val="00694560"/>
    <w:rsid w:val="006A1A1E"/>
    <w:rsid w:val="006B6A96"/>
    <w:rsid w:val="006C5948"/>
    <w:rsid w:val="006D18D6"/>
    <w:rsid w:val="006D3734"/>
    <w:rsid w:val="006E41BC"/>
    <w:rsid w:val="006F2A74"/>
    <w:rsid w:val="006F75F1"/>
    <w:rsid w:val="007000D4"/>
    <w:rsid w:val="007118F5"/>
    <w:rsid w:val="00712AA4"/>
    <w:rsid w:val="00713EF7"/>
    <w:rsid w:val="007146C4"/>
    <w:rsid w:val="00716C17"/>
    <w:rsid w:val="00717572"/>
    <w:rsid w:val="00721AA1"/>
    <w:rsid w:val="00724B67"/>
    <w:rsid w:val="00725841"/>
    <w:rsid w:val="0075353A"/>
    <w:rsid w:val="007547F8"/>
    <w:rsid w:val="0075791B"/>
    <w:rsid w:val="007642C8"/>
    <w:rsid w:val="00765622"/>
    <w:rsid w:val="00770B6C"/>
    <w:rsid w:val="007726A6"/>
    <w:rsid w:val="007768F5"/>
    <w:rsid w:val="007774D7"/>
    <w:rsid w:val="007810B3"/>
    <w:rsid w:val="00783FEA"/>
    <w:rsid w:val="00784B12"/>
    <w:rsid w:val="007921F9"/>
    <w:rsid w:val="007A395D"/>
    <w:rsid w:val="007B6BD5"/>
    <w:rsid w:val="007C346C"/>
    <w:rsid w:val="007C34CF"/>
    <w:rsid w:val="007D0292"/>
    <w:rsid w:val="007D1E5B"/>
    <w:rsid w:val="007D2364"/>
    <w:rsid w:val="007D773C"/>
    <w:rsid w:val="007E6479"/>
    <w:rsid w:val="007F55F4"/>
    <w:rsid w:val="0080294B"/>
    <w:rsid w:val="008156C2"/>
    <w:rsid w:val="0082480E"/>
    <w:rsid w:val="0082695F"/>
    <w:rsid w:val="008442F1"/>
    <w:rsid w:val="008470A7"/>
    <w:rsid w:val="00850293"/>
    <w:rsid w:val="00851373"/>
    <w:rsid w:val="00851BA6"/>
    <w:rsid w:val="0085654D"/>
    <w:rsid w:val="00861160"/>
    <w:rsid w:val="00865490"/>
    <w:rsid w:val="0086654F"/>
    <w:rsid w:val="00867B4D"/>
    <w:rsid w:val="00876588"/>
    <w:rsid w:val="008A356F"/>
    <w:rsid w:val="008A4653"/>
    <w:rsid w:val="008A4717"/>
    <w:rsid w:val="008A50CC"/>
    <w:rsid w:val="008B3040"/>
    <w:rsid w:val="008C574F"/>
    <w:rsid w:val="008D1694"/>
    <w:rsid w:val="008D469E"/>
    <w:rsid w:val="008D6C1F"/>
    <w:rsid w:val="008D79CB"/>
    <w:rsid w:val="008F07BC"/>
    <w:rsid w:val="00906122"/>
    <w:rsid w:val="00913AA4"/>
    <w:rsid w:val="0091760D"/>
    <w:rsid w:val="0092692B"/>
    <w:rsid w:val="00930561"/>
    <w:rsid w:val="00937B74"/>
    <w:rsid w:val="00943E9C"/>
    <w:rsid w:val="00944B95"/>
    <w:rsid w:val="00946175"/>
    <w:rsid w:val="00953F4D"/>
    <w:rsid w:val="00960BB8"/>
    <w:rsid w:val="00964F5C"/>
    <w:rsid w:val="009714F5"/>
    <w:rsid w:val="00973B57"/>
    <w:rsid w:val="00975900"/>
    <w:rsid w:val="00981225"/>
    <w:rsid w:val="00981E70"/>
    <w:rsid w:val="009831C0"/>
    <w:rsid w:val="00985021"/>
    <w:rsid w:val="0099161D"/>
    <w:rsid w:val="009D0ECA"/>
    <w:rsid w:val="009E193C"/>
    <w:rsid w:val="009F1F85"/>
    <w:rsid w:val="00A0389B"/>
    <w:rsid w:val="00A108B1"/>
    <w:rsid w:val="00A148CD"/>
    <w:rsid w:val="00A16A81"/>
    <w:rsid w:val="00A33A3C"/>
    <w:rsid w:val="00A35889"/>
    <w:rsid w:val="00A41A5F"/>
    <w:rsid w:val="00A4270A"/>
    <w:rsid w:val="00A427DA"/>
    <w:rsid w:val="00A446C9"/>
    <w:rsid w:val="00A4708E"/>
    <w:rsid w:val="00A515A8"/>
    <w:rsid w:val="00A544AE"/>
    <w:rsid w:val="00A61308"/>
    <w:rsid w:val="00A61E4F"/>
    <w:rsid w:val="00A635D6"/>
    <w:rsid w:val="00A635F3"/>
    <w:rsid w:val="00A752A4"/>
    <w:rsid w:val="00A8553A"/>
    <w:rsid w:val="00A93AED"/>
    <w:rsid w:val="00AB045D"/>
    <w:rsid w:val="00AC52D4"/>
    <w:rsid w:val="00AE1319"/>
    <w:rsid w:val="00AE34BB"/>
    <w:rsid w:val="00B00A18"/>
    <w:rsid w:val="00B06714"/>
    <w:rsid w:val="00B2218C"/>
    <w:rsid w:val="00B226F2"/>
    <w:rsid w:val="00B274DF"/>
    <w:rsid w:val="00B420EE"/>
    <w:rsid w:val="00B56BDF"/>
    <w:rsid w:val="00B60E6A"/>
    <w:rsid w:val="00B65812"/>
    <w:rsid w:val="00B766DC"/>
    <w:rsid w:val="00B857F2"/>
    <w:rsid w:val="00B85CD6"/>
    <w:rsid w:val="00B90A27"/>
    <w:rsid w:val="00B9554D"/>
    <w:rsid w:val="00B974C6"/>
    <w:rsid w:val="00BB10FB"/>
    <w:rsid w:val="00BB1CF1"/>
    <w:rsid w:val="00BB26F9"/>
    <w:rsid w:val="00BB2B9F"/>
    <w:rsid w:val="00BB7D9E"/>
    <w:rsid w:val="00BC2334"/>
    <w:rsid w:val="00BD3CB8"/>
    <w:rsid w:val="00BD4E6F"/>
    <w:rsid w:val="00BE358F"/>
    <w:rsid w:val="00BF052B"/>
    <w:rsid w:val="00BF32F0"/>
    <w:rsid w:val="00BF4DCE"/>
    <w:rsid w:val="00BF7C2F"/>
    <w:rsid w:val="00C05CE5"/>
    <w:rsid w:val="00C2013A"/>
    <w:rsid w:val="00C458EF"/>
    <w:rsid w:val="00C6171E"/>
    <w:rsid w:val="00C66A86"/>
    <w:rsid w:val="00C762B9"/>
    <w:rsid w:val="00C768B8"/>
    <w:rsid w:val="00C80A96"/>
    <w:rsid w:val="00C81521"/>
    <w:rsid w:val="00CA3BA6"/>
    <w:rsid w:val="00CA6F2C"/>
    <w:rsid w:val="00CA75B7"/>
    <w:rsid w:val="00CA76A2"/>
    <w:rsid w:val="00CB728D"/>
    <w:rsid w:val="00CC1936"/>
    <w:rsid w:val="00CC4A24"/>
    <w:rsid w:val="00CC7B93"/>
    <w:rsid w:val="00CD235F"/>
    <w:rsid w:val="00CD42A3"/>
    <w:rsid w:val="00CD5713"/>
    <w:rsid w:val="00CD6A13"/>
    <w:rsid w:val="00CF1871"/>
    <w:rsid w:val="00CF376B"/>
    <w:rsid w:val="00D01874"/>
    <w:rsid w:val="00D019CE"/>
    <w:rsid w:val="00D07C3E"/>
    <w:rsid w:val="00D1081D"/>
    <w:rsid w:val="00D1133E"/>
    <w:rsid w:val="00D17A34"/>
    <w:rsid w:val="00D2027D"/>
    <w:rsid w:val="00D21F8C"/>
    <w:rsid w:val="00D25CC8"/>
    <w:rsid w:val="00D263E4"/>
    <w:rsid w:val="00D26628"/>
    <w:rsid w:val="00D269A3"/>
    <w:rsid w:val="00D332B3"/>
    <w:rsid w:val="00D35ECA"/>
    <w:rsid w:val="00D36D1A"/>
    <w:rsid w:val="00D41675"/>
    <w:rsid w:val="00D51BDA"/>
    <w:rsid w:val="00D55207"/>
    <w:rsid w:val="00D556BB"/>
    <w:rsid w:val="00D55DA2"/>
    <w:rsid w:val="00D81801"/>
    <w:rsid w:val="00D82762"/>
    <w:rsid w:val="00D82DAB"/>
    <w:rsid w:val="00D86D17"/>
    <w:rsid w:val="00D92B45"/>
    <w:rsid w:val="00D95962"/>
    <w:rsid w:val="00DA273C"/>
    <w:rsid w:val="00DA41B8"/>
    <w:rsid w:val="00DC389B"/>
    <w:rsid w:val="00DD348E"/>
    <w:rsid w:val="00DD6D01"/>
    <w:rsid w:val="00DE157A"/>
    <w:rsid w:val="00DE211A"/>
    <w:rsid w:val="00DE2FEE"/>
    <w:rsid w:val="00DF1467"/>
    <w:rsid w:val="00DF22AE"/>
    <w:rsid w:val="00DF38B5"/>
    <w:rsid w:val="00E00BE9"/>
    <w:rsid w:val="00E22A11"/>
    <w:rsid w:val="00E31E5C"/>
    <w:rsid w:val="00E33E65"/>
    <w:rsid w:val="00E37D68"/>
    <w:rsid w:val="00E42715"/>
    <w:rsid w:val="00E44DD2"/>
    <w:rsid w:val="00E46C29"/>
    <w:rsid w:val="00E558C3"/>
    <w:rsid w:val="00E55927"/>
    <w:rsid w:val="00E60540"/>
    <w:rsid w:val="00E646E2"/>
    <w:rsid w:val="00E6488F"/>
    <w:rsid w:val="00E77122"/>
    <w:rsid w:val="00E912A6"/>
    <w:rsid w:val="00E9407A"/>
    <w:rsid w:val="00E9507C"/>
    <w:rsid w:val="00E97041"/>
    <w:rsid w:val="00EA4844"/>
    <w:rsid w:val="00EA4D9C"/>
    <w:rsid w:val="00EA5A97"/>
    <w:rsid w:val="00EB2248"/>
    <w:rsid w:val="00EB75EE"/>
    <w:rsid w:val="00EC075A"/>
    <w:rsid w:val="00EC28B7"/>
    <w:rsid w:val="00EC2A4F"/>
    <w:rsid w:val="00EC693D"/>
    <w:rsid w:val="00ED081F"/>
    <w:rsid w:val="00EE2BA5"/>
    <w:rsid w:val="00EE3CC5"/>
    <w:rsid w:val="00EE49DD"/>
    <w:rsid w:val="00EE4C1D"/>
    <w:rsid w:val="00EF3685"/>
    <w:rsid w:val="00F04350"/>
    <w:rsid w:val="00F04796"/>
    <w:rsid w:val="00F133DB"/>
    <w:rsid w:val="00F155B9"/>
    <w:rsid w:val="00F159EB"/>
    <w:rsid w:val="00F205F2"/>
    <w:rsid w:val="00F25BF4"/>
    <w:rsid w:val="00F267DB"/>
    <w:rsid w:val="00F350BE"/>
    <w:rsid w:val="00F46F6F"/>
    <w:rsid w:val="00F50475"/>
    <w:rsid w:val="00F538D4"/>
    <w:rsid w:val="00F60608"/>
    <w:rsid w:val="00F62217"/>
    <w:rsid w:val="00F63CE9"/>
    <w:rsid w:val="00F82895"/>
    <w:rsid w:val="00F92491"/>
    <w:rsid w:val="00FB1304"/>
    <w:rsid w:val="00FB17A9"/>
    <w:rsid w:val="00FB527C"/>
    <w:rsid w:val="00FB6F75"/>
    <w:rsid w:val="00FB7D03"/>
    <w:rsid w:val="00FC0A41"/>
    <w:rsid w:val="00FC0EB3"/>
    <w:rsid w:val="00FC4279"/>
    <w:rsid w:val="00FC4E92"/>
    <w:rsid w:val="00FD018C"/>
    <w:rsid w:val="00FD25D9"/>
    <w:rsid w:val="00FD675E"/>
    <w:rsid w:val="00FD6FEA"/>
    <w:rsid w:val="00FD7A48"/>
    <w:rsid w:val="00FE5674"/>
    <w:rsid w:val="00FF72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E646E2"/>
    <w:rPr>
      <w:color w:val="605E5C"/>
      <w:shd w:val="clear" w:color="auto" w:fill="E1DFDD"/>
    </w:rPr>
  </w:style>
  <w:style w:type="paragraph" w:customStyle="1" w:styleId="Default">
    <w:name w:val="Default"/>
    <w:rsid w:val="00CA76A2"/>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E6488F"/>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214D01"/>
    <w:rPr>
      <w:rFonts w:ascii="Arial" w:hAnsi="Arial" w:cs="Calibri"/>
      <w:sz w:val="22"/>
      <w:szCs w:val="22"/>
    </w:rPr>
  </w:style>
  <w:style w:type="character" w:customStyle="1" w:styleId="cf01">
    <w:name w:val="cf01"/>
    <w:basedOn w:val="DefaultParagraphFont"/>
    <w:rsid w:val="00D21F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5513">
      <w:bodyDiv w:val="1"/>
      <w:marLeft w:val="0"/>
      <w:marRight w:val="0"/>
      <w:marTop w:val="0"/>
      <w:marBottom w:val="0"/>
      <w:divBdr>
        <w:top w:val="none" w:sz="0" w:space="0" w:color="auto"/>
        <w:left w:val="none" w:sz="0" w:space="0" w:color="auto"/>
        <w:bottom w:val="none" w:sz="0" w:space="0" w:color="auto"/>
        <w:right w:val="none" w:sz="0" w:space="0" w:color="auto"/>
      </w:divBdr>
      <w:divsChild>
        <w:div w:id="1532257556">
          <w:marLeft w:val="360"/>
          <w:marRight w:val="0"/>
          <w:marTop w:val="200"/>
          <w:marBottom w:val="0"/>
          <w:divBdr>
            <w:top w:val="none" w:sz="0" w:space="0" w:color="auto"/>
            <w:left w:val="none" w:sz="0" w:space="0" w:color="auto"/>
            <w:bottom w:val="none" w:sz="0" w:space="0" w:color="auto"/>
            <w:right w:val="none" w:sz="0" w:space="0" w:color="auto"/>
          </w:divBdr>
        </w:div>
        <w:div w:id="755982148">
          <w:marLeft w:val="360"/>
          <w:marRight w:val="0"/>
          <w:marTop w:val="200"/>
          <w:marBottom w:val="0"/>
          <w:divBdr>
            <w:top w:val="none" w:sz="0" w:space="0" w:color="auto"/>
            <w:left w:val="none" w:sz="0" w:space="0" w:color="auto"/>
            <w:bottom w:val="none" w:sz="0" w:space="0" w:color="auto"/>
            <w:right w:val="none" w:sz="0" w:space="0" w:color="auto"/>
          </w:divBdr>
        </w:div>
        <w:div w:id="568073258">
          <w:marLeft w:val="360"/>
          <w:marRight w:val="0"/>
          <w:marTop w:val="200"/>
          <w:marBottom w:val="0"/>
          <w:divBdr>
            <w:top w:val="none" w:sz="0" w:space="0" w:color="auto"/>
            <w:left w:val="none" w:sz="0" w:space="0" w:color="auto"/>
            <w:bottom w:val="none" w:sz="0" w:space="0" w:color="auto"/>
            <w:right w:val="none" w:sz="0" w:space="0" w:color="auto"/>
          </w:divBdr>
        </w:div>
      </w:divsChild>
    </w:div>
    <w:div w:id="290746941">
      <w:bodyDiv w:val="1"/>
      <w:marLeft w:val="0"/>
      <w:marRight w:val="0"/>
      <w:marTop w:val="0"/>
      <w:marBottom w:val="0"/>
      <w:divBdr>
        <w:top w:val="none" w:sz="0" w:space="0" w:color="auto"/>
        <w:left w:val="none" w:sz="0" w:space="0" w:color="auto"/>
        <w:bottom w:val="none" w:sz="0" w:space="0" w:color="auto"/>
        <w:right w:val="none" w:sz="0" w:space="0" w:color="auto"/>
      </w:divBdr>
    </w:div>
    <w:div w:id="3511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n.imo.org/localresources/en/OurWork/Safety/Documents/enavigation/MSC%2085%20-%20annex%2020%20-%20Strategy%20for%20the%20development%20and%20implementation%20of%20e-nav.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dn.imo.org/localresources/en/KnowledgeCentre/IndexofIMOResolutions/AssemblyDocuments/A.915(22).pdf" TargetMode="External"/><Relationship Id="rId17" Type="http://schemas.openxmlformats.org/officeDocument/2006/relationships/hyperlink" Target="https://eshop.eurocae.net/eurocae-documents-and-reports/ed-259a/" TargetMode="External"/><Relationship Id="rId2" Type="http://schemas.openxmlformats.org/officeDocument/2006/relationships/customXml" Target="../customXml/item2.xml"/><Relationship Id="rId16" Type="http://schemas.openxmlformats.org/officeDocument/2006/relationships/hyperlink" Target="https://www.iala-aism.org/product/r10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n.imo.org/localresources/en/KnowledgeCentre/IndexofIMOResolutions/MSCResolutions/MSC.401(95).pdf" TargetMode="External"/><Relationship Id="rId5" Type="http://schemas.openxmlformats.org/officeDocument/2006/relationships/numbering" Target="numbering.xml"/><Relationship Id="rId15" Type="http://schemas.openxmlformats.org/officeDocument/2006/relationships/hyperlink" Target="https://www.iala-aism.org/product/g118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product/g1152/"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2583</Words>
  <Characters>14725</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cp:lastPrinted>2024-03-01T16:24:00Z</cp:lastPrinted>
  <dcterms:created xsi:type="dcterms:W3CDTF">2024-03-14T09:04:00Z</dcterms:created>
  <dcterms:modified xsi:type="dcterms:W3CDTF">2024-03-14T17:55:00Z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