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B4A75" w14:textId="77777777" w:rsidR="00AB452C" w:rsidRDefault="00AB452C">
      <w:pPr>
        <w:rPr>
          <w:rFonts w:ascii="Calibri" w:hAnsi="Calibri"/>
          <w:lang w:val="en-ZA"/>
        </w:rPr>
      </w:pPr>
    </w:p>
    <w:p w14:paraId="55DB4A76" w14:textId="77777777" w:rsidR="00AB452C" w:rsidRDefault="00AB452C">
      <w:pPr>
        <w:pStyle w:val="BodyText"/>
        <w:rPr>
          <w:lang w:val="en-ZA"/>
        </w:rPr>
      </w:pPr>
    </w:p>
    <w:p w14:paraId="55DB4A77" w14:textId="77777777" w:rsidR="00AB452C" w:rsidRDefault="00D30A47">
      <w:pPr>
        <w:pStyle w:val="Header"/>
        <w:jc w:val="center"/>
        <w:rPr>
          <w:lang w:val="en-ZA"/>
        </w:rPr>
      </w:pPr>
      <w:r>
        <w:rPr>
          <w:rFonts w:ascii="Calibri" w:hAnsi="Calibri"/>
          <w:b/>
          <w:color w:val="0070C0"/>
          <w:sz w:val="28"/>
          <w:szCs w:val="32"/>
          <w:lang w:val="en-ZA"/>
        </w:rPr>
        <w:t>International Dictionary of Marine Aids to Navigation (Dictionary) – New Proposals</w:t>
      </w:r>
    </w:p>
    <w:p w14:paraId="55DB4A78" w14:textId="77777777" w:rsidR="00AB452C" w:rsidRDefault="00AB452C">
      <w:pPr>
        <w:pStyle w:val="BodyText"/>
        <w:rPr>
          <w:lang w:val="en-ZA"/>
        </w:rPr>
      </w:pPr>
    </w:p>
    <w:tbl>
      <w:tblPr>
        <w:tblStyle w:val="TableGrid"/>
        <w:tblW w:w="141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2"/>
        <w:gridCol w:w="1061"/>
        <w:gridCol w:w="992"/>
        <w:gridCol w:w="2199"/>
        <w:gridCol w:w="4484"/>
        <w:gridCol w:w="2015"/>
        <w:gridCol w:w="1072"/>
        <w:gridCol w:w="1072"/>
      </w:tblGrid>
      <w:tr w:rsidR="00AB452C" w14:paraId="55DB4A86" w14:textId="77777777">
        <w:trPr>
          <w:tblHeader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79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Term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7A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7B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  <w:t>Source</w:t>
            </w:r>
          </w:p>
          <w:p w14:paraId="55DB4A7C" w14:textId="77777777" w:rsidR="00AB452C" w:rsidRDefault="00D30A47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  <w:t>(meeting/</w:t>
            </w:r>
          </w:p>
          <w:p w14:paraId="55DB4A7D" w14:textId="77777777" w:rsidR="00AB452C" w:rsidRDefault="00D30A47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  <w:t>document/</w:t>
            </w:r>
          </w:p>
          <w:p w14:paraId="55DB4A7E" w14:textId="77777777" w:rsidR="00AB452C" w:rsidRDefault="00D30A47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  <w:t>person)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7F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Old definition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80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Proposed definition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81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82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Proposal</w:t>
            </w:r>
          </w:p>
          <w:p w14:paraId="55DB4A83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55DB4A84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  <w:t>Accept/</w:t>
            </w:r>
          </w:p>
          <w:p w14:paraId="55DB4A85" w14:textId="77777777" w:rsidR="00AB452C" w:rsidRDefault="00D30A47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  <w:t>Reject</w:t>
            </w:r>
          </w:p>
        </w:tc>
      </w:tr>
      <w:tr w:rsidR="00AB452C" w14:paraId="55DB4A91" w14:textId="77777777">
        <w:tc>
          <w:tcPr>
            <w:tcW w:w="12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87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b/>
                <w:sz w:val="20"/>
              </w:rPr>
              <w:t xml:space="preserve">Benchmarks </w:t>
            </w:r>
          </w:p>
        </w:tc>
        <w:tc>
          <w:tcPr>
            <w:tcW w:w="1061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88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89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US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8A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DB4A8B" w14:textId="77777777" w:rsidR="00AB452C" w:rsidRDefault="00D30A47">
            <w:pPr>
              <w:pStyle w:val="Tabletext"/>
              <w:ind w:left="0"/>
              <w:rPr>
                <w:b/>
              </w:rPr>
            </w:pPr>
            <w:r>
              <w:rPr>
                <w:b/>
              </w:rPr>
              <w:t xml:space="preserve">Benchmarks </w:t>
            </w:r>
          </w:p>
          <w:p w14:paraId="55DB4A8C" w14:textId="77777777" w:rsidR="00AB452C" w:rsidRDefault="00D30A47">
            <w:pPr>
              <w:pStyle w:val="Tabletext"/>
              <w:ind w:left="0"/>
              <w:rPr>
                <w:rFonts w:cstheme="minorHAnsi"/>
                <w:szCs w:val="20"/>
                <w:lang w:val="en-ZA" w:eastAsia="de-DE"/>
              </w:rPr>
            </w:pPr>
            <w:r>
              <w:t>(also "best practice benchmarks" or "process benchmarking") is a process used in management and particularly strategic management, in which organisations evaluate various aspects of their processes in relation to best practice, usually within their own sector.</w:t>
            </w:r>
            <w:r>
              <w:rPr>
                <w:rFonts w:cstheme="minorHAnsi"/>
                <w:szCs w:val="20"/>
                <w:lang w:val="en-ZA" w:eastAsia="de-DE"/>
              </w:rPr>
              <w:t>.</w:t>
            </w:r>
          </w:p>
          <w:p w14:paraId="55DB4A8D" w14:textId="77777777" w:rsidR="00AB452C" w:rsidRDefault="00D30A47">
            <w:pPr>
              <w:pStyle w:val="Tabletext"/>
              <w:ind w:left="0"/>
              <w:rPr>
                <w:rFonts w:cstheme="minorHAnsi"/>
                <w:szCs w:val="20"/>
                <w:lang w:val="en-ZA" w:eastAsia="de-DE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(Originate: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</w:p>
        </w:tc>
        <w:tc>
          <w:tcPr>
            <w:tcW w:w="2015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8E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8F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DB4A90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9C" w14:textId="77777777"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2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b/>
                <w:sz w:val="20"/>
              </w:rPr>
              <w:t xml:space="preserve">Certification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3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4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5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6" w14:textId="77777777" w:rsidR="00AB452C" w:rsidRDefault="00D30A47">
            <w:pPr>
              <w:pStyle w:val="BodyText"/>
              <w:spacing w:before="60" w:after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Certification </w:t>
            </w:r>
          </w:p>
          <w:p w14:paraId="55DB4A97" w14:textId="77777777" w:rsidR="00AB452C" w:rsidRDefault="00D30A47">
            <w:pPr>
              <w:pStyle w:val="BodyText"/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Demonstrates that the service or product is being provided in accordance to a standard. </w:t>
            </w:r>
          </w:p>
          <w:p w14:paraId="55DB4A98" w14:textId="77777777" w:rsidR="00AB452C" w:rsidRDefault="00D30A47">
            <w:pPr>
              <w:pStyle w:val="BodyText"/>
              <w:spacing w:before="60" w:after="60"/>
              <w:jc w:val="left"/>
              <w:rPr>
                <w:sz w:val="20"/>
                <w:lang w:val="en-ZA" w:eastAsia="de-DE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9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A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DB4A9B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A7" w14:textId="77777777"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D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b/>
                <w:sz w:val="20"/>
              </w:rPr>
              <w:t>Customer / User/ Stakeholder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E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9F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A0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DB4AA1" w14:textId="77777777" w:rsidR="00AB452C" w:rsidRDefault="00D30A47">
            <w:pPr>
              <w:shd w:val="clear" w:color="auto" w:fill="FFFFFF"/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Customer / User/ </w:t>
            </w:r>
            <w:r>
              <w:rPr>
                <w:b/>
                <w:sz w:val="20"/>
              </w:rPr>
              <w:t>Stakeholder</w:t>
            </w:r>
          </w:p>
          <w:p w14:paraId="55DB4AA2" w14:textId="77777777" w:rsidR="00AB452C" w:rsidRDefault="00D30A47">
            <w:pPr>
              <w:shd w:val="clear" w:color="auto" w:fill="FFFFFF"/>
              <w:spacing w:before="60" w:after="60"/>
              <w:rPr>
                <w:sz w:val="20"/>
              </w:rPr>
            </w:pPr>
            <w:r>
              <w:rPr>
                <w:sz w:val="20"/>
              </w:rPr>
              <w:t>A person or group that benefits from a product or service.</w:t>
            </w:r>
          </w:p>
          <w:p w14:paraId="55DB4AA3" w14:textId="77777777" w:rsidR="00AB452C" w:rsidRDefault="00D30A47">
            <w:pPr>
              <w:shd w:val="clear" w:color="auto" w:fill="FFFFFF"/>
              <w:spacing w:before="60" w:after="60"/>
              <w:rPr>
                <w:b/>
                <w:sz w:val="20"/>
                <w:lang w:val="en-ZA" w:eastAsia="en-ZA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A4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B4AA5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DB4AA6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B2" w14:textId="77777777">
        <w:trPr>
          <w:trHeight w:val="23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A8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b/>
                <w:sz w:val="20"/>
              </w:rPr>
              <w:t xml:space="preserve">Gap Analysis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A9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AA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AB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AC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Gap Analysis </w:t>
            </w:r>
          </w:p>
          <w:p w14:paraId="55DB4AAD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A business assessment tool enabling a company to compare its actual performance with its potential performance. Gap analysis naturally flows from benchmarking or other assessments. </w:t>
            </w:r>
          </w:p>
          <w:p w14:paraId="55DB4AAE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lang w:val="en-ZA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AF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0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B1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BD" w14:textId="777777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3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b/>
                <w:sz w:val="20"/>
              </w:rPr>
              <w:lastRenderedPageBreak/>
              <w:t xml:space="preserve">Governance Framework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4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5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6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B7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Governance Framework </w:t>
            </w:r>
          </w:p>
          <w:p w14:paraId="55DB4AB8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A set of responsibilities and practices, policies and procedures, exercised by an authority to provide strategic directive, ensure objectives manage risk and use resources responsibly and with accountability. </w:t>
            </w:r>
          </w:p>
          <w:p w14:paraId="55DB4AB9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lang w:val="en-ZA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A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B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BC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C8" w14:textId="777777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E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b/>
                <w:sz w:val="20"/>
              </w:rPr>
              <w:t xml:space="preserve">Performance Measurement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BF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0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1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C2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Performance Measurement </w:t>
            </w:r>
          </w:p>
          <w:p w14:paraId="55DB4AC3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The use of statistical evidence to determine progress toward specific defined organisational objectives. </w:t>
            </w:r>
          </w:p>
          <w:p w14:paraId="55DB4AC4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lang w:val="en-ZA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5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6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C7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D3" w14:textId="777777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9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b/>
                <w:sz w:val="20"/>
              </w:rPr>
              <w:t xml:space="preserve">Quality Manual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A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B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CC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CD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Quality Manual </w:t>
            </w:r>
          </w:p>
          <w:p w14:paraId="55DB4ACE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</w:rPr>
            </w:pPr>
            <w:r>
              <w:rPr>
                <w:sz w:val="20"/>
              </w:rPr>
              <w:t>Documentation that identifies the processes and procedures, technical instructions, indicators, records, forms of measurement, monitoring analysis and improvement to ensure that stakeholder requirements, needs and expectations are met.</w:t>
            </w:r>
          </w:p>
          <w:p w14:paraId="55DB4ACF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ZA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0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1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D2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DE" w14:textId="777777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4" w14:textId="77777777" w:rsidR="00AB452C" w:rsidRDefault="00D30A47">
            <w:pPr>
              <w:pStyle w:val="BodyTex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Risk Management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5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6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7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D8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Risk Management </w:t>
            </w:r>
          </w:p>
          <w:p w14:paraId="55DB4AD9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sz w:val="20"/>
              </w:rPr>
            </w:pPr>
            <w:r>
              <w:rPr>
                <w:sz w:val="20"/>
              </w:rPr>
              <w:t>Process of measuring or assessing risk and developing strategies to manage the risk.</w:t>
            </w:r>
          </w:p>
          <w:p w14:paraId="55DB4ADA" w14:textId="77777777" w:rsidR="00AB452C" w:rsidRDefault="00D30A47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Cs w:val="20"/>
                <w:highlight w:val="yellow"/>
                <w:lang w:val="en-ZA" w:eastAsia="de-DE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B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Not 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C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DD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E9" w14:textId="777777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DF" w14:textId="77777777" w:rsidR="00AB452C" w:rsidRDefault="00D30A47">
            <w:pPr>
              <w:spacing w:after="17" w:line="259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Strengths, Weaknesses, Opportunities and Threats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0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1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2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E3" w14:textId="77777777" w:rsidR="00AB452C" w:rsidRDefault="00D30A47">
            <w:pPr>
              <w:spacing w:after="17" w:line="259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Strengths, Weaknesses, Opportunities and Threats </w:t>
            </w:r>
          </w:p>
          <w:p w14:paraId="55DB4AE4" w14:textId="77777777" w:rsidR="00AB452C" w:rsidRDefault="00D30A47">
            <w:pPr>
              <w:spacing w:after="17" w:line="259" w:lineRule="auto"/>
              <w:rPr>
                <w:sz w:val="20"/>
              </w:rPr>
            </w:pPr>
            <w:r>
              <w:rPr>
                <w:sz w:val="20"/>
              </w:rPr>
              <w:t xml:space="preserve">Analysis process to identify areas for improvement and assist with the definition of the strategic and other processes in support of the business activities.  </w:t>
            </w:r>
          </w:p>
          <w:p w14:paraId="55DB4AE5" w14:textId="77777777" w:rsidR="00AB452C" w:rsidRDefault="00D30A47">
            <w:pPr>
              <w:spacing w:after="17" w:line="259" w:lineRule="auto"/>
              <w:rPr>
                <w:sz w:val="20"/>
                <w:lang w:val="en-ZA" w:eastAsia="de-DE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6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7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E8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F4" w14:textId="777777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A" w14:textId="77777777" w:rsidR="00AB452C" w:rsidRDefault="00D30A47">
            <w:pPr>
              <w:spacing w:after="17" w:line="259" w:lineRule="auto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lastRenderedPageBreak/>
              <w:t>NGO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B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C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ED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EE" w14:textId="77777777" w:rsidR="00AB452C" w:rsidRDefault="00D30A47">
            <w:pPr>
              <w:spacing w:after="17" w:line="259" w:lineRule="auto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NGO</w:t>
            </w:r>
          </w:p>
          <w:p w14:paraId="55DB4AEF" w14:textId="77777777" w:rsidR="00AB452C" w:rsidRDefault="00D30A47">
            <w:pPr>
              <w:spacing w:after="17" w:line="259" w:lineRule="auto"/>
              <w:rPr>
                <w:bCs/>
                <w:sz w:val="20"/>
                <w:lang w:val="en-ZA" w:eastAsia="de-DE"/>
              </w:rPr>
            </w:pPr>
            <w:r>
              <w:rPr>
                <w:rFonts w:hint="eastAsia"/>
                <w:bCs/>
                <w:sz w:val="20"/>
                <w:lang w:val="en-ZA" w:eastAsia="de-DE"/>
              </w:rPr>
              <w:t>Non</w:t>
            </w:r>
            <w:r>
              <w:rPr>
                <w:rFonts w:hint="eastAsia"/>
                <w:bCs/>
                <w:sz w:val="20"/>
                <w:lang w:val="en-ZA" w:eastAsia="de-DE"/>
              </w:rPr>
              <w:t>‐</w:t>
            </w:r>
            <w:r>
              <w:rPr>
                <w:rFonts w:hint="eastAsia"/>
                <w:bCs/>
                <w:sz w:val="20"/>
                <w:lang w:val="en-ZA" w:eastAsia="de-DE"/>
              </w:rPr>
              <w:t>Governmental Organisation(s)</w:t>
            </w:r>
          </w:p>
          <w:p w14:paraId="55DB4AF0" w14:textId="77777777" w:rsidR="00AB452C" w:rsidRDefault="00D30A47">
            <w:pPr>
              <w:spacing w:after="17" w:line="259" w:lineRule="auto"/>
              <w:rPr>
                <w:bCs/>
                <w:sz w:val="20"/>
                <w:lang w:val="en-ZA" w:eastAsia="de-DE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1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2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F3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AB452C" w14:paraId="55DB4AFF" w14:textId="777777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5" w14:textId="77777777" w:rsidR="00AB452C" w:rsidRDefault="00D30A47">
            <w:pPr>
              <w:spacing w:after="17" w:line="259" w:lineRule="auto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SWOT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6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7" w14:textId="77777777" w:rsidR="00AB452C" w:rsidRDefault="00D30A47">
            <w:pPr>
              <w:pStyle w:val="BodyText"/>
              <w:jc w:val="left"/>
              <w:rPr>
                <w:rFonts w:asciiTheme="minorHAnsi" w:eastAsia="SimSun" w:hAnsiTheme="minorHAnsi" w:cstheme="minorBidi"/>
                <w:sz w:val="20"/>
                <w:szCs w:val="20"/>
                <w:lang w:val="en-ZA" w:eastAsia="zh-CN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</w:t>
            </w:r>
            <w:r>
              <w:rPr>
                <w:rFonts w:asciiTheme="minorHAnsi" w:eastAsia="SimSun" w:hAnsiTheme="minorHAnsi" w:cstheme="minorBid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8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F9" w14:textId="77777777" w:rsidR="00AB452C" w:rsidRDefault="00D30A47">
            <w:pPr>
              <w:spacing w:after="17" w:line="259" w:lineRule="auto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SWOT</w:t>
            </w:r>
          </w:p>
          <w:p w14:paraId="55DB4AFA" w14:textId="77777777" w:rsidR="00AB452C" w:rsidRDefault="00D30A47">
            <w:pPr>
              <w:spacing w:after="17" w:line="259" w:lineRule="auto"/>
              <w:rPr>
                <w:bCs/>
                <w:sz w:val="20"/>
              </w:rPr>
            </w:pPr>
            <w:r>
              <w:rPr>
                <w:sz w:val="20"/>
              </w:rPr>
              <w:t xml:space="preserve">Strengths, Weaknesses, Opportunities and Threats </w:t>
            </w:r>
          </w:p>
          <w:p w14:paraId="55DB4AFB" w14:textId="77777777" w:rsidR="00AB452C" w:rsidRDefault="00D30A47">
            <w:pPr>
              <w:spacing w:after="17" w:line="259" w:lineRule="auto"/>
              <w:rPr>
                <w:bCs/>
                <w:sz w:val="20"/>
                <w:lang w:val="en-ZA" w:eastAsia="de-DE"/>
              </w:rPr>
            </w:pPr>
            <w:r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Originate: 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G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10</w:t>
            </w:r>
            <w:r>
              <w:rPr>
                <w:rFonts w:eastAsia="SimSun" w:cstheme="minorHAnsi" w:hint="eastAsia"/>
                <w:szCs w:val="20"/>
                <w:highlight w:val="yellow"/>
                <w:lang w:val="en-US" w:eastAsia="zh-CN"/>
              </w:rPr>
              <w:t>52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C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AFD" w14:textId="77777777" w:rsidR="00AB452C" w:rsidRDefault="00D30A4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AFE" w14:textId="77777777" w:rsidR="00AB452C" w:rsidRDefault="00AB452C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</w:tbl>
    <w:p w14:paraId="55DB4B00" w14:textId="77777777" w:rsidR="00AB452C" w:rsidRDefault="00AB452C">
      <w:pPr>
        <w:pStyle w:val="BodyText"/>
        <w:rPr>
          <w:rFonts w:eastAsia="Times New Roman" w:cs="Times New Roman"/>
          <w:lang w:val="en-ZA" w:eastAsia="en-IE"/>
        </w:rPr>
      </w:pPr>
    </w:p>
    <w:p w14:paraId="55DB4B01" w14:textId="77777777" w:rsidR="00AB452C" w:rsidRDefault="00D30A47">
      <w:pPr>
        <w:pStyle w:val="BodyText"/>
        <w:numPr>
          <w:ilvl w:val="0"/>
          <w:numId w:val="18"/>
        </w:numPr>
        <w:rPr>
          <w:lang w:val="en-ZA"/>
        </w:rPr>
      </w:pPr>
      <w:r>
        <w:rPr>
          <w:lang w:val="en-ZA"/>
        </w:rPr>
        <w:t>Dictionary number will be assigned by secretariat</w:t>
      </w:r>
    </w:p>
    <w:p w14:paraId="55DB4B02" w14:textId="77777777" w:rsidR="00AB452C" w:rsidRDefault="00AB452C">
      <w:pPr>
        <w:rPr>
          <w:lang w:val="en-ZA"/>
        </w:rPr>
      </w:pPr>
    </w:p>
    <w:sectPr w:rsidR="00AB45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8" w:right="1138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4B0C" w14:textId="77777777" w:rsidR="00D30A47" w:rsidRDefault="00D30A47">
      <w:r>
        <w:separator/>
      </w:r>
    </w:p>
  </w:endnote>
  <w:endnote w:type="continuationSeparator" w:id="0">
    <w:p w14:paraId="55DB4B0E" w14:textId="77777777" w:rsidR="00D30A47" w:rsidRDefault="00D3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Microsoft Sans Serif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B4B05" w14:textId="77777777" w:rsidR="00AB452C" w:rsidRDefault="00AB45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668A" w14:textId="77777777" w:rsidR="0095260C" w:rsidRDefault="009526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626701"/>
      <w:docPartObj>
        <w:docPartGallery w:val="AutoText"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5DB4B07" w14:textId="77777777" w:rsidR="00AB452C" w:rsidRDefault="00D30A47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4B08" w14:textId="77777777" w:rsidR="00D30A47" w:rsidRDefault="00D30A47">
      <w:r>
        <w:separator/>
      </w:r>
    </w:p>
  </w:footnote>
  <w:footnote w:type="continuationSeparator" w:id="0">
    <w:p w14:paraId="55DB4B0A" w14:textId="77777777" w:rsidR="00D30A47" w:rsidRDefault="00D3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B4B03" w14:textId="77777777" w:rsidR="00AB452C" w:rsidRDefault="00AB45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B4B04" w14:textId="77777777" w:rsidR="00AB452C" w:rsidRDefault="00AB452C">
    <w:pPr>
      <w:pStyle w:val="Header"/>
      <w:tabs>
        <w:tab w:val="clear" w:pos="4820"/>
      </w:tabs>
      <w:jc w:val="right"/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B4B06" w14:textId="19E0FBFA" w:rsidR="00AB452C" w:rsidRDefault="00D30A47">
    <w:pPr>
      <w:pStyle w:val="Header"/>
      <w:jc w:val="right"/>
    </w:pPr>
    <w:r>
      <w:rPr>
        <w:rFonts w:asciiTheme="minorHAnsi" w:hAnsiTheme="minorHAnsi" w:cstheme="minorHAnsi"/>
        <w:color w:val="000000" w:themeColor="text1"/>
        <w:sz w:val="20"/>
        <w:szCs w:val="20"/>
      </w:rPr>
      <w:t>ARM1</w:t>
    </w:r>
    <w:r>
      <w:rPr>
        <w:rFonts w:asciiTheme="minorHAnsi" w:eastAsia="SimSun" w:hAnsiTheme="minorHAnsi" w:cstheme="minorHAnsi" w:hint="eastAsia"/>
        <w:color w:val="000000" w:themeColor="text1"/>
        <w:sz w:val="20"/>
        <w:szCs w:val="20"/>
        <w:lang w:val="en-US" w:eastAsia="zh-CN"/>
      </w:rPr>
      <w:t>8</w:t>
    </w:r>
    <w:r>
      <w:rPr>
        <w:rFonts w:asciiTheme="minorHAnsi" w:hAnsiTheme="minorHAnsi" w:cstheme="minorHAnsi"/>
        <w:color w:val="000000" w:themeColor="text1"/>
        <w:sz w:val="20"/>
        <w:szCs w:val="20"/>
      </w:rPr>
      <w:t>-</w:t>
    </w:r>
    <w:r w:rsidR="0095260C">
      <w:rPr>
        <w:rFonts w:asciiTheme="minorHAnsi" w:eastAsia="SimSun" w:hAnsiTheme="minorHAnsi" w:cstheme="minorHAnsi"/>
        <w:color w:val="000000" w:themeColor="text1"/>
        <w:sz w:val="20"/>
        <w:szCs w:val="20"/>
        <w:lang w:val="en-US" w:eastAsia="zh-CN"/>
      </w:rPr>
      <w:t xml:space="preserve">7.2.2.1 </w:t>
    </w:r>
    <w:r>
      <w:rPr>
        <w:rFonts w:asciiTheme="minorHAnsi" w:hAnsiTheme="minorHAnsi" w:cstheme="minorHAnsi"/>
        <w:color w:val="000000" w:themeColor="text1"/>
        <w:sz w:val="20"/>
        <w:szCs w:val="20"/>
      </w:rPr>
      <w:t>WP Task 1.5.</w:t>
    </w:r>
    <w:r>
      <w:rPr>
        <w:rFonts w:asciiTheme="minorHAnsi" w:eastAsia="SimSun" w:hAnsiTheme="minorHAnsi" w:cstheme="minorHAnsi" w:hint="eastAsia"/>
        <w:color w:val="000000" w:themeColor="text1"/>
        <w:sz w:val="20"/>
        <w:szCs w:val="20"/>
        <w:lang w:val="en-US" w:eastAsia="zh-CN"/>
      </w:rPr>
      <w:t>2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 - New Definitions for IALA Dictionary</w:t>
    </w:r>
    <w:r>
      <w:rPr>
        <w:lang w:val="en-ZA" w:eastAsia="en-ZA"/>
      </w:rPr>
      <w:t xml:space="preserve"> </w:t>
    </w:r>
    <w:r>
      <w:rPr>
        <w:noProof/>
        <w:lang w:val="en-ZA" w:eastAsia="en-ZA"/>
      </w:rPr>
      <w:drawing>
        <wp:anchor distT="0" distB="0" distL="114300" distR="114300" simplePos="0" relativeHeight="251659264" behindDoc="0" locked="0" layoutInCell="1" allowOverlap="1" wp14:anchorId="55DB4B08" wp14:editId="55DB4B09">
          <wp:simplePos x="0" y="0"/>
          <wp:positionH relativeFrom="margin">
            <wp:posOffset>4143375</wp:posOffset>
          </wp:positionH>
          <wp:positionV relativeFrom="paragraph">
            <wp:posOffset>-447675</wp:posOffset>
          </wp:positionV>
          <wp:extent cx="852170" cy="83058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multilevel"/>
    <w:tmpl w:val="0CD61877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multilevel"/>
    <w:tmpl w:val="0E4A7213"/>
    <w:lvl w:ilvl="0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19C37E91"/>
    <w:lvl w:ilvl="0">
      <w:start w:val="1"/>
      <w:numFmt w:val="decimal"/>
      <w:lvlText w:val="%1"/>
      <w:lvlJc w:val="left"/>
      <w:pPr>
        <w:tabs>
          <w:tab w:val="left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6A71356D"/>
    <w:multiLevelType w:val="multilevel"/>
    <w:tmpl w:val="6A7135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3D8"/>
    <w:multiLevelType w:val="multilevel"/>
    <w:tmpl w:val="73DA33D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3898202">
    <w:abstractNumId w:val="17"/>
  </w:num>
  <w:num w:numId="2" w16cid:durableId="452597053">
    <w:abstractNumId w:val="3"/>
  </w:num>
  <w:num w:numId="3" w16cid:durableId="767384078">
    <w:abstractNumId w:val="1"/>
  </w:num>
  <w:num w:numId="4" w16cid:durableId="581374620">
    <w:abstractNumId w:val="10"/>
  </w:num>
  <w:num w:numId="5" w16cid:durableId="254439055">
    <w:abstractNumId w:val="0"/>
  </w:num>
  <w:num w:numId="6" w16cid:durableId="1213730363">
    <w:abstractNumId w:val="15"/>
  </w:num>
  <w:num w:numId="7" w16cid:durableId="272176414">
    <w:abstractNumId w:val="12"/>
  </w:num>
  <w:num w:numId="8" w16cid:durableId="1197812343">
    <w:abstractNumId w:val="11"/>
  </w:num>
  <w:num w:numId="9" w16cid:durableId="1488739108">
    <w:abstractNumId w:val="9"/>
  </w:num>
  <w:num w:numId="10" w16cid:durableId="515966389">
    <w:abstractNumId w:val="14"/>
  </w:num>
  <w:num w:numId="11" w16cid:durableId="1079333231">
    <w:abstractNumId w:val="8"/>
  </w:num>
  <w:num w:numId="12" w16cid:durableId="1882132620">
    <w:abstractNumId w:val="13"/>
  </w:num>
  <w:num w:numId="13" w16cid:durableId="1669209359">
    <w:abstractNumId w:val="4"/>
  </w:num>
  <w:num w:numId="14" w16cid:durableId="340545512">
    <w:abstractNumId w:val="6"/>
  </w:num>
  <w:num w:numId="15" w16cid:durableId="576289246">
    <w:abstractNumId w:val="7"/>
  </w:num>
  <w:num w:numId="16" w16cid:durableId="1142036625">
    <w:abstractNumId w:val="2"/>
  </w:num>
  <w:num w:numId="17" w16cid:durableId="122582714">
    <w:abstractNumId w:val="5"/>
  </w:num>
  <w:num w:numId="18" w16cid:durableId="7130412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rAUAzwgZLywAAAA="/>
    <w:docVar w:name="commondata" w:val="eyJoZGlkIjoiYTI0ZWYwZDhlYzQ4NWU4ODdiODNjOWFkNGY4NWUzOTYifQ=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22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46B97"/>
    <w:rsid w:val="00154610"/>
    <w:rsid w:val="001568A9"/>
    <w:rsid w:val="00177F4D"/>
    <w:rsid w:val="00180DDA"/>
    <w:rsid w:val="001A799F"/>
    <w:rsid w:val="001B0921"/>
    <w:rsid w:val="001B2A2D"/>
    <w:rsid w:val="001B3423"/>
    <w:rsid w:val="001B678C"/>
    <w:rsid w:val="001B737D"/>
    <w:rsid w:val="001C44A3"/>
    <w:rsid w:val="001C5010"/>
    <w:rsid w:val="001C66A7"/>
    <w:rsid w:val="001C7BE2"/>
    <w:rsid w:val="001E0E15"/>
    <w:rsid w:val="001E777C"/>
    <w:rsid w:val="001F528A"/>
    <w:rsid w:val="001F704E"/>
    <w:rsid w:val="00201722"/>
    <w:rsid w:val="002125B0"/>
    <w:rsid w:val="00212E75"/>
    <w:rsid w:val="0021387A"/>
    <w:rsid w:val="00236F25"/>
    <w:rsid w:val="002421DB"/>
    <w:rsid w:val="00242328"/>
    <w:rsid w:val="00243228"/>
    <w:rsid w:val="00251483"/>
    <w:rsid w:val="00255CAA"/>
    <w:rsid w:val="00257E5E"/>
    <w:rsid w:val="002608E2"/>
    <w:rsid w:val="002619A4"/>
    <w:rsid w:val="00261DD6"/>
    <w:rsid w:val="00264305"/>
    <w:rsid w:val="00265CED"/>
    <w:rsid w:val="0027395D"/>
    <w:rsid w:val="002831EA"/>
    <w:rsid w:val="002919DF"/>
    <w:rsid w:val="00293E21"/>
    <w:rsid w:val="002A0346"/>
    <w:rsid w:val="002A4487"/>
    <w:rsid w:val="002B1121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0E9F"/>
    <w:rsid w:val="00472F36"/>
    <w:rsid w:val="004737B9"/>
    <w:rsid w:val="00487A03"/>
    <w:rsid w:val="004A3A8D"/>
    <w:rsid w:val="004A3EAC"/>
    <w:rsid w:val="004A41C1"/>
    <w:rsid w:val="004C312D"/>
    <w:rsid w:val="004C7031"/>
    <w:rsid w:val="004D13D2"/>
    <w:rsid w:val="004D1D85"/>
    <w:rsid w:val="004D3C3A"/>
    <w:rsid w:val="004D4B1B"/>
    <w:rsid w:val="004E1A6D"/>
    <w:rsid w:val="004E1CD1"/>
    <w:rsid w:val="005011C7"/>
    <w:rsid w:val="0050163C"/>
    <w:rsid w:val="0050425D"/>
    <w:rsid w:val="005054E4"/>
    <w:rsid w:val="005107EB"/>
    <w:rsid w:val="00521345"/>
    <w:rsid w:val="005252F7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425C4"/>
    <w:rsid w:val="00643CFB"/>
    <w:rsid w:val="00650B5D"/>
    <w:rsid w:val="00664903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0AF"/>
    <w:rsid w:val="006C793F"/>
    <w:rsid w:val="006D1430"/>
    <w:rsid w:val="006F2A74"/>
    <w:rsid w:val="006F4F07"/>
    <w:rsid w:val="007055E4"/>
    <w:rsid w:val="0070698F"/>
    <w:rsid w:val="007118F5"/>
    <w:rsid w:val="00712AA4"/>
    <w:rsid w:val="007131BB"/>
    <w:rsid w:val="00713E06"/>
    <w:rsid w:val="007146C4"/>
    <w:rsid w:val="00715AB7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0D90"/>
    <w:rsid w:val="00791519"/>
    <w:rsid w:val="007949AA"/>
    <w:rsid w:val="007A395D"/>
    <w:rsid w:val="007A4C38"/>
    <w:rsid w:val="007B1702"/>
    <w:rsid w:val="007B3618"/>
    <w:rsid w:val="007B415A"/>
    <w:rsid w:val="007B5066"/>
    <w:rsid w:val="007B70CD"/>
    <w:rsid w:val="007B79F2"/>
    <w:rsid w:val="007C346C"/>
    <w:rsid w:val="007C403E"/>
    <w:rsid w:val="007C4588"/>
    <w:rsid w:val="007C6D48"/>
    <w:rsid w:val="007D7171"/>
    <w:rsid w:val="007E09BC"/>
    <w:rsid w:val="007E2491"/>
    <w:rsid w:val="007F0DDE"/>
    <w:rsid w:val="007F3226"/>
    <w:rsid w:val="0080294B"/>
    <w:rsid w:val="00803785"/>
    <w:rsid w:val="008109EA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2766"/>
    <w:rsid w:val="008B58D7"/>
    <w:rsid w:val="008B71A4"/>
    <w:rsid w:val="008C0003"/>
    <w:rsid w:val="008C4C98"/>
    <w:rsid w:val="008C5C6D"/>
    <w:rsid w:val="008D0EA2"/>
    <w:rsid w:val="008D1694"/>
    <w:rsid w:val="008D2135"/>
    <w:rsid w:val="008D4339"/>
    <w:rsid w:val="008D50E0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260C"/>
    <w:rsid w:val="00953F4D"/>
    <w:rsid w:val="00960BB8"/>
    <w:rsid w:val="00964F5C"/>
    <w:rsid w:val="009678F6"/>
    <w:rsid w:val="009831C0"/>
    <w:rsid w:val="0098630E"/>
    <w:rsid w:val="0099161D"/>
    <w:rsid w:val="00993ADC"/>
    <w:rsid w:val="00993DC2"/>
    <w:rsid w:val="00994D01"/>
    <w:rsid w:val="00995FE0"/>
    <w:rsid w:val="009A085B"/>
    <w:rsid w:val="009A5D7A"/>
    <w:rsid w:val="009A6D03"/>
    <w:rsid w:val="009B4428"/>
    <w:rsid w:val="009B5263"/>
    <w:rsid w:val="009D53C3"/>
    <w:rsid w:val="009F3850"/>
    <w:rsid w:val="00A028E9"/>
    <w:rsid w:val="00A0389B"/>
    <w:rsid w:val="00A2014D"/>
    <w:rsid w:val="00A20A71"/>
    <w:rsid w:val="00A22D04"/>
    <w:rsid w:val="00A33AE9"/>
    <w:rsid w:val="00A35999"/>
    <w:rsid w:val="00A446C9"/>
    <w:rsid w:val="00A4673A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B452C"/>
    <w:rsid w:val="00AE1319"/>
    <w:rsid w:val="00AE144D"/>
    <w:rsid w:val="00AE34BB"/>
    <w:rsid w:val="00AF41FB"/>
    <w:rsid w:val="00AF7D87"/>
    <w:rsid w:val="00B149E3"/>
    <w:rsid w:val="00B1676A"/>
    <w:rsid w:val="00B179FE"/>
    <w:rsid w:val="00B226F2"/>
    <w:rsid w:val="00B23E77"/>
    <w:rsid w:val="00B274DF"/>
    <w:rsid w:val="00B42C99"/>
    <w:rsid w:val="00B4433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0D33"/>
    <w:rsid w:val="00C04207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85DA1"/>
    <w:rsid w:val="00C868AB"/>
    <w:rsid w:val="00CA6F2C"/>
    <w:rsid w:val="00CA7FE3"/>
    <w:rsid w:val="00CB24C7"/>
    <w:rsid w:val="00CB2787"/>
    <w:rsid w:val="00CB69F4"/>
    <w:rsid w:val="00CC2DCC"/>
    <w:rsid w:val="00CC3856"/>
    <w:rsid w:val="00CC6E6E"/>
    <w:rsid w:val="00CD642A"/>
    <w:rsid w:val="00CE145C"/>
    <w:rsid w:val="00CE1C09"/>
    <w:rsid w:val="00CF1871"/>
    <w:rsid w:val="00D008EE"/>
    <w:rsid w:val="00D00B16"/>
    <w:rsid w:val="00D019CE"/>
    <w:rsid w:val="00D1133E"/>
    <w:rsid w:val="00D17A34"/>
    <w:rsid w:val="00D21ABE"/>
    <w:rsid w:val="00D26628"/>
    <w:rsid w:val="00D30A47"/>
    <w:rsid w:val="00D332B3"/>
    <w:rsid w:val="00D55207"/>
    <w:rsid w:val="00D65BE5"/>
    <w:rsid w:val="00D73E06"/>
    <w:rsid w:val="00D80BDE"/>
    <w:rsid w:val="00D81801"/>
    <w:rsid w:val="00D92B45"/>
    <w:rsid w:val="00D95962"/>
    <w:rsid w:val="00DB0A2F"/>
    <w:rsid w:val="00DC01DA"/>
    <w:rsid w:val="00DC389B"/>
    <w:rsid w:val="00DC4354"/>
    <w:rsid w:val="00DD0907"/>
    <w:rsid w:val="00DD6270"/>
    <w:rsid w:val="00DE2FEE"/>
    <w:rsid w:val="00DE4574"/>
    <w:rsid w:val="00DE4B79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5F4F"/>
    <w:rsid w:val="00E5623F"/>
    <w:rsid w:val="00E60584"/>
    <w:rsid w:val="00E84E12"/>
    <w:rsid w:val="00E90C6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0842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  <w:rsid w:val="07B653E4"/>
    <w:rsid w:val="0A8F11BE"/>
    <w:rsid w:val="0ED00208"/>
    <w:rsid w:val="1AC743ED"/>
    <w:rsid w:val="1D7A1406"/>
    <w:rsid w:val="1FEA6512"/>
    <w:rsid w:val="282553C1"/>
    <w:rsid w:val="46C3062D"/>
    <w:rsid w:val="48E409EA"/>
    <w:rsid w:val="50B77EA1"/>
    <w:rsid w:val="53C348A6"/>
    <w:rsid w:val="62281CE2"/>
    <w:rsid w:val="63F0428F"/>
    <w:rsid w:val="6DA71E62"/>
    <w:rsid w:val="79D70EB1"/>
    <w:rsid w:val="7B14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DB4A75"/>
  <w15:docId w15:val="{580DE412-964B-4DD1-B0EE-A2795389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semiHidden="1" w:uiPriority="0"/>
    <w:lsdException w:name="toc 6" w:semiHidden="1" w:uiPriority="0"/>
    <w:lsdException w:name="toc 7" w:semiHidden="1" w:uiPriority="0" w:qFormat="1"/>
    <w:lsdException w:name="toc 8" w:semiHidden="1" w:uiPriority="0"/>
    <w:lsdException w:name="toc 9" w:semiHidden="1" w:uiPriority="0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0" w:qFormat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2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pPr>
      <w:keepNext/>
      <w:numPr>
        <w:ilvl w:val="3"/>
        <w:numId w:val="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pPr>
      <w:numPr>
        <w:ilvl w:val="4"/>
        <w:numId w:val="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pPr>
      <w:numPr>
        <w:ilvl w:val="5"/>
        <w:numId w:val="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pPr>
      <w:numPr>
        <w:ilvl w:val="6"/>
        <w:numId w:val="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pPr>
      <w:numPr>
        <w:ilvl w:val="7"/>
        <w:numId w:val="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pPr>
      <w:numPr>
        <w:ilvl w:val="8"/>
        <w:numId w:val="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qFormat/>
    <w:pPr>
      <w:spacing w:after="120"/>
      <w:jc w:val="both"/>
    </w:pPr>
    <w:rPr>
      <w:rFonts w:ascii="Calibri" w:hAnsi="Calibri"/>
    </w:rPr>
  </w:style>
  <w:style w:type="paragraph" w:styleId="BodyTextIndent">
    <w:name w:val="Body Text Indent"/>
    <w:basedOn w:val="Normal"/>
    <w:link w:val="BodyTextIndentChar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rPr>
      <w:sz w:val="20"/>
      <w:szCs w:val="20"/>
    </w:rPr>
  </w:style>
  <w:style w:type="paragraph" w:styleId="TOC5">
    <w:name w:val="toc 5"/>
    <w:basedOn w:val="Normal"/>
    <w:next w:val="Normal"/>
    <w:autoRedefine/>
    <w:semiHidden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autoRedefine/>
    <w:uiPriority w:val="99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autoRedefine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autoRedefine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autoRedefine/>
    <w:qFormat/>
    <w:pPr>
      <w:spacing w:after="60"/>
      <w:jc w:val="center"/>
      <w:outlineLvl w:val="1"/>
    </w:pPr>
    <w:rPr>
      <w:rFonts w:asciiTheme="minorHAnsi" w:hAnsiTheme="minorHAnsi" w:cs="Arial"/>
    </w:rPr>
  </w:style>
  <w:style w:type="paragraph" w:styleId="FootnoteText">
    <w:name w:val="footnote text"/>
    <w:basedOn w:val="Normal"/>
    <w:link w:val="FootnoteTextChar"/>
    <w:autoRedefine/>
    <w:semiHidden/>
    <w:qFormat/>
    <w:rPr>
      <w:sz w:val="20"/>
      <w:szCs w:val="20"/>
    </w:rPr>
  </w:style>
  <w:style w:type="paragraph" w:styleId="TOC6">
    <w:name w:val="toc 6"/>
    <w:basedOn w:val="Normal"/>
    <w:next w:val="Normal"/>
    <w:autoRedefine/>
    <w:semiHidden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pPr>
      <w:ind w:left="1680"/>
    </w:pPr>
    <w:rPr>
      <w:sz w:val="20"/>
      <w:szCs w:val="20"/>
    </w:rPr>
  </w:style>
  <w:style w:type="paragraph" w:styleId="NormalWeb">
    <w:name w:val="Normal (Web)"/>
    <w:basedOn w:val="Normal"/>
    <w:autoRedefine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styleId="Title">
    <w:name w:val="Title"/>
    <w:basedOn w:val="Normal"/>
    <w:link w:val="TitleChar"/>
    <w:autoRedefine/>
    <w:qFormat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autoRedefine/>
    <w:uiPriority w:val="22"/>
    <w:qFormat/>
    <w:rPr>
      <w:b/>
      <w:bCs/>
    </w:rPr>
  </w:style>
  <w:style w:type="character" w:styleId="PageNumber">
    <w:name w:val="page number"/>
    <w:basedOn w:val="DefaultParagraphFont"/>
    <w:autoRedefine/>
    <w:qFormat/>
  </w:style>
  <w:style w:type="character" w:styleId="Hyperlink">
    <w:name w:val="Hyperlink"/>
    <w:autoRedefine/>
    <w:uiPriority w:val="99"/>
    <w:rPr>
      <w:vertAlign w:val="baseline"/>
    </w:rPr>
  </w:style>
  <w:style w:type="character" w:styleId="CommentReference">
    <w:name w:val="annotation reference"/>
    <w:basedOn w:val="DefaultParagraphFont"/>
    <w:autoRedefine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semiHidden/>
    <w:rPr>
      <w:rFonts w:ascii="Arial" w:hAnsi="Arial"/>
      <w:sz w:val="16"/>
    </w:rPr>
  </w:style>
  <w:style w:type="character" w:customStyle="1" w:styleId="Heading1Char">
    <w:name w:val="Heading 1 Char"/>
    <w:link w:val="Heading1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autoRedefine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autoRedefine/>
    <w:qFormat/>
    <w:pPr>
      <w:numPr>
        <w:numId w:val="3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autoRedefine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pPr>
      <w:numPr>
        <w:numId w:val="5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pPr>
      <w:numPr>
        <w:ilvl w:val="2"/>
        <w:numId w:val="5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autoRedefine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rPr>
      <w:rFonts w:cs="Calibri"/>
      <w:sz w:val="22"/>
      <w:szCs w:val="22"/>
    </w:rPr>
  </w:style>
  <w:style w:type="paragraph" w:customStyle="1" w:styleId="Bullet1">
    <w:name w:val="Bullet 1"/>
    <w:basedOn w:val="Normal"/>
    <w:autoRedefine/>
    <w:qFormat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autoRedefine/>
    <w:qFormat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autoRedefine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autoRedefine/>
    <w:qFormat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autoRedefine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autoRedefine/>
    <w:qFormat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FooterChar">
    <w:name w:val="Footer Char"/>
    <w:link w:val="Footer"/>
    <w:uiPriority w:val="99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autoRedefine/>
    <w:qFormat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autoRedefine/>
    <w:qFormat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autoRedefine/>
    <w:qFormat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autoRedefine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autoRedefine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autoRedefine/>
    <w:qFormat/>
    <w:pPr>
      <w:numPr>
        <w:numId w:val="12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BodyTextIndentChar">
    <w:name w:val="Body Text Indent Char"/>
    <w:link w:val="BodyTextIndent"/>
    <w:autoRedefine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autoRedefine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autoRedefine/>
    <w:qFormat/>
    <w:rPr>
      <w:rFonts w:asciiTheme="minorHAnsi" w:hAnsiTheme="minorHAnsi" w:cs="Arial"/>
      <w:sz w:val="22"/>
      <w:szCs w:val="22"/>
    </w:rPr>
  </w:style>
  <w:style w:type="character" w:customStyle="1" w:styleId="TitleChar">
    <w:name w:val="Title Char"/>
    <w:link w:val="Title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autoRedefine/>
    <w:qFormat/>
    <w:pPr>
      <w:numPr>
        <w:numId w:val="13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autoRedefine/>
    <w:pPr>
      <w:numPr>
        <w:numId w:val="1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pPr>
      <w:numPr>
        <w:ilvl w:val="1"/>
        <w:numId w:val="1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pPr>
      <w:numPr>
        <w:ilvl w:val="2"/>
        <w:numId w:val="1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pPr>
      <w:numPr>
        <w:ilvl w:val="3"/>
        <w:numId w:val="1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autoRedefine/>
    <w:qFormat/>
    <w:pPr>
      <w:keepNext/>
      <w:numPr>
        <w:numId w:val="15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autoRedefine/>
    <w:qFormat/>
    <w:pPr>
      <w:numPr>
        <w:numId w:val="16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autoRedefine/>
    <w:qFormat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autoRedefine/>
    <w:qFormat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autoRedefine/>
    <w:qFormat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autoRedefine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autoRedefine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autoRedefine/>
    <w:qFormat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Pr>
      <w:rFonts w:eastAsia="Times New Roman" w:cs="Calibri"/>
      <w:sz w:val="22"/>
      <w:szCs w:val="22"/>
      <w:lang w:eastAsia="en-US"/>
    </w:rPr>
  </w:style>
  <w:style w:type="paragraph" w:customStyle="1" w:styleId="Tabletext">
    <w:name w:val="Table text"/>
    <w:basedOn w:val="Normal"/>
    <w:qFormat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nnexAHead1">
    <w:name w:val="Annex A Head 1"/>
    <w:basedOn w:val="Normal"/>
    <w:next w:val="Normal"/>
    <w:autoRedefine/>
    <w:qFormat/>
    <w:pPr>
      <w:numPr>
        <w:numId w:val="17"/>
      </w:numPr>
      <w:spacing w:before="120" w:after="120"/>
    </w:pPr>
    <w:rPr>
      <w:rFonts w:asciiTheme="minorHAnsi" w:eastAsia="Calibri" w:hAnsiTheme="minorHAnsi"/>
      <w:b/>
      <w:bCs/>
      <w:caps/>
      <w:color w:val="407EC9"/>
      <w:sz w:val="28"/>
    </w:rPr>
  </w:style>
  <w:style w:type="paragraph" w:customStyle="1" w:styleId="AnnexAHead2">
    <w:name w:val="Annex A Head 2"/>
    <w:basedOn w:val="Normal"/>
    <w:next w:val="Normal"/>
    <w:autoRedefine/>
    <w:qFormat/>
    <w:pPr>
      <w:numPr>
        <w:ilvl w:val="1"/>
        <w:numId w:val="17"/>
      </w:numPr>
      <w:spacing w:before="120" w:after="120"/>
    </w:pPr>
    <w:rPr>
      <w:rFonts w:asciiTheme="minorHAnsi" w:eastAsia="Calibri" w:hAnsiTheme="minorHAnsi"/>
      <w:b/>
      <w:caps/>
      <w:color w:val="407EC9"/>
      <w:sz w:val="24"/>
    </w:rPr>
  </w:style>
  <w:style w:type="paragraph" w:customStyle="1" w:styleId="AnnexAHead3">
    <w:name w:val="Annex A Head 3"/>
    <w:basedOn w:val="Normal"/>
    <w:next w:val="BodyText"/>
    <w:pPr>
      <w:numPr>
        <w:ilvl w:val="2"/>
        <w:numId w:val="17"/>
      </w:numPr>
      <w:spacing w:before="120" w:after="120"/>
    </w:pPr>
    <w:rPr>
      <w:rFonts w:asciiTheme="minorHAnsi" w:eastAsia="Calibri" w:hAnsiTheme="minorHAnsi"/>
      <w:b/>
      <w:smallCaps/>
      <w:color w:val="407EC9"/>
    </w:rPr>
  </w:style>
  <w:style w:type="paragraph" w:customStyle="1" w:styleId="AnnexAHead4">
    <w:name w:val="Annex A Head 4"/>
    <w:basedOn w:val="Normal"/>
    <w:next w:val="BodyText"/>
    <w:pPr>
      <w:numPr>
        <w:ilvl w:val="3"/>
        <w:numId w:val="17"/>
      </w:numPr>
      <w:spacing w:before="120" w:after="120"/>
    </w:pPr>
    <w:rPr>
      <w:rFonts w:asciiTheme="minorHAnsi" w:eastAsia="Calibri" w:hAnsiTheme="minorHAnsi"/>
      <w:b/>
      <w:color w:val="407EC9"/>
    </w:rPr>
  </w:style>
  <w:style w:type="table" w:customStyle="1" w:styleId="TableGrid0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5016DD77-397A-4027-8AAE-67A381B45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FC2447-EF3B-4956-924D-6925199178B5}">
  <ds:schemaRefs/>
</ds:datastoreItem>
</file>

<file path=customXml/itemProps3.xml><?xml version="1.0" encoding="utf-8"?>
<ds:datastoreItem xmlns:ds="http://schemas.openxmlformats.org/officeDocument/2006/customXml" ds:itemID="{3EDB3308-8C87-483B-85C0-C85E8EAAFA62}">
  <ds:schemaRefs/>
</ds:datastoreItem>
</file>

<file path=customXml/itemProps4.xml><?xml version="1.0" encoding="utf-8"?>
<ds:datastoreItem xmlns:ds="http://schemas.openxmlformats.org/officeDocument/2006/customXml" ds:itemID="{3098C52B-D327-448D-86EB-8F479CFFCA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Tom Southall</cp:lastModifiedBy>
  <cp:revision>4</cp:revision>
  <cp:lastPrinted>2018-07-05T23:13:00Z</cp:lastPrinted>
  <dcterms:created xsi:type="dcterms:W3CDTF">2022-02-21T11:13:00Z</dcterms:created>
  <dcterms:modified xsi:type="dcterms:W3CDTF">2024-03-27T10:55:00Z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2052-12.1.0.16120</vt:lpwstr>
  </property>
  <property fmtid="{D5CDD505-2E9C-101B-9397-08002B2CF9AE}" pid="4" name="ICV">
    <vt:lpwstr>8C7DBE42C9F64AEDAC3C5B1927202F98_13</vt:lpwstr>
  </property>
  <property fmtid="{D5CDD505-2E9C-101B-9397-08002B2CF9AE}" pid="5" name="MediaServiceImageTags">
    <vt:lpwstr/>
  </property>
</Properties>
</file>