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3179D" w14:textId="1FB781FF" w:rsidR="005D10F8" w:rsidRDefault="0008562C">
      <w:pPr>
        <w:pStyle w:val="Header"/>
        <w:tabs>
          <w:tab w:val="clear" w:pos="9639"/>
          <w:tab w:val="right" w:pos="5954"/>
        </w:tabs>
        <w:wordWrap w:val="0"/>
        <w:spacing w:after="240"/>
        <w:jc w:val="right"/>
        <w:rPr>
          <w:rFonts w:ascii="Calibri" w:eastAsia="SimSun" w:hAnsi="Calibri"/>
          <w:lang w:val="en-US" w:eastAsia="zh-CN"/>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ARM18-7.3.1</w:t>
      </w:r>
      <w:r>
        <w:rPr>
          <w:rFonts w:ascii="Calibri" w:hAnsi="Calibri"/>
        </w:rPr>
        <w:t xml:space="preserve"> </w:t>
      </w:r>
      <w:r>
        <w:rPr>
          <w:rFonts w:ascii="Calibri" w:eastAsia="SimSun" w:hAnsi="Calibri" w:hint="eastAsia"/>
          <w:lang w:val="en-US" w:eastAsia="zh-CN"/>
        </w:rPr>
        <w:t xml:space="preserve"> </w:t>
      </w:r>
    </w:p>
    <w:p w14:paraId="756DB162" w14:textId="77777777" w:rsidR="005D10F8" w:rsidRDefault="005D10F8">
      <w:pPr>
        <w:pStyle w:val="BodyText"/>
        <w:tabs>
          <w:tab w:val="left" w:pos="2835"/>
        </w:tabs>
        <w:rPr>
          <w:rFonts w:ascii="Calibri" w:hAnsi="Calibri"/>
        </w:rPr>
      </w:pPr>
    </w:p>
    <w:p w14:paraId="0C3AE428" w14:textId="77777777" w:rsidR="005D10F8" w:rsidRDefault="005D10F8">
      <w:pPr>
        <w:pStyle w:val="BodyText"/>
        <w:tabs>
          <w:tab w:val="left" w:pos="2835"/>
        </w:tabs>
        <w:rPr>
          <w:rFonts w:ascii="Calibri" w:hAnsi="Calibri"/>
        </w:rPr>
      </w:pPr>
    </w:p>
    <w:p w14:paraId="4A4F8735" w14:textId="77777777" w:rsidR="005D10F8" w:rsidRDefault="0008562C">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802CA54" w14:textId="77777777" w:rsidR="005D10F8" w:rsidRDefault="0008562C">
      <w:pPr>
        <w:pStyle w:val="BodyText"/>
        <w:tabs>
          <w:tab w:val="left" w:pos="1843"/>
        </w:tabs>
        <w:rPr>
          <w:rFonts w:ascii="Calibri" w:hAnsi="Calibri" w:cs="Arial"/>
          <w:b/>
          <w:sz w:val="24"/>
          <w:szCs w:val="24"/>
        </w:rPr>
      </w:pPr>
      <w:r>
        <w:rPr>
          <w:rFonts w:ascii="Calibri" w:eastAsia="SimSun" w:hAnsi="Calibri" w:cs="Arial" w:hint="eastAsia"/>
          <w:b/>
          <w:sz w:val="24"/>
          <w:szCs w:val="24"/>
          <w:lang w:eastAsia="zh-CN"/>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sym w:font="Wingdings 2" w:char="0052"/>
      </w:r>
      <w:r>
        <w:rPr>
          <w:rFonts w:ascii="Calibri" w:hAnsi="Calibri" w:cs="Arial"/>
          <w:sz w:val="24"/>
          <w:szCs w:val="24"/>
        </w:rPr>
        <w:t xml:space="preserve">  Input</w:t>
      </w:r>
    </w:p>
    <w:p w14:paraId="4E18DCB2" w14:textId="77777777" w:rsidR="005D10F8" w:rsidRDefault="0008562C">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r>
      <w:bookmarkStart w:id="0" w:name="OLE_LINK2"/>
      <w:r>
        <w:rPr>
          <w:rFonts w:ascii="Calibri" w:hAnsi="Calibri" w:cs="Arial"/>
          <w:b/>
          <w:sz w:val="24"/>
          <w:szCs w:val="24"/>
        </w:rPr>
        <w:t>□</w:t>
      </w:r>
      <w:bookmarkEnd w:id="0"/>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Information</w:t>
      </w:r>
    </w:p>
    <w:p w14:paraId="2AD76CE3" w14:textId="77777777" w:rsidR="005D10F8" w:rsidRDefault="005D10F8">
      <w:pPr>
        <w:pStyle w:val="BodyText"/>
        <w:tabs>
          <w:tab w:val="left" w:pos="2835"/>
        </w:tabs>
        <w:rPr>
          <w:rFonts w:ascii="Calibri" w:hAnsi="Calibri"/>
        </w:rPr>
      </w:pPr>
    </w:p>
    <w:p w14:paraId="2578FA3D" w14:textId="0C3C6730" w:rsidR="005D10F8" w:rsidRDefault="0008562C">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7.3</w:t>
      </w:r>
    </w:p>
    <w:p w14:paraId="2D24AB5C" w14:textId="77777777" w:rsidR="005D10F8" w:rsidRDefault="0008562C">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hint="eastAsia"/>
          <w:color w:val="000000" w:themeColor="text1"/>
          <w:lang w:val="en-US" w:eastAsia="zh-CN"/>
        </w:rPr>
        <w:t>Task 1.2.2</w:t>
      </w:r>
    </w:p>
    <w:p w14:paraId="72CEC0E9" w14:textId="11A8126E" w:rsidR="005D10F8" w:rsidRDefault="0008562C">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sidR="00B82E75">
        <w:rPr>
          <w:rFonts w:ascii="Calibri" w:eastAsia="SimSun" w:hAnsi="Calibri"/>
          <w:lang w:val="en-US" w:eastAsia="zh-CN"/>
        </w:rPr>
        <w:t>CHINA</w:t>
      </w:r>
      <w:r>
        <w:rPr>
          <w:rFonts w:ascii="Calibri" w:eastAsia="SimSun" w:hAnsi="Calibri" w:hint="eastAsia"/>
          <w:lang w:val="en-US" w:eastAsia="zh-CN"/>
        </w:rPr>
        <w:t xml:space="preserve"> MSA</w:t>
      </w:r>
      <w:r>
        <w:rPr>
          <w:rFonts w:ascii="Calibri" w:hAnsi="Calibri"/>
        </w:rPr>
        <w:t>……</w:t>
      </w:r>
    </w:p>
    <w:p w14:paraId="00CB9858" w14:textId="77777777" w:rsidR="005D10F8" w:rsidRDefault="005D10F8">
      <w:pPr>
        <w:pStyle w:val="BodyText"/>
        <w:tabs>
          <w:tab w:val="left" w:pos="2835"/>
        </w:tabs>
        <w:rPr>
          <w:rFonts w:ascii="Calibri" w:hAnsi="Calibri"/>
        </w:rPr>
      </w:pPr>
    </w:p>
    <w:p w14:paraId="1DA01873" w14:textId="77777777" w:rsidR="005D10F8" w:rsidRDefault="0008562C">
      <w:pPr>
        <w:pStyle w:val="Title"/>
        <w:rPr>
          <w:rFonts w:ascii="Calibri" w:eastAsia="SimSun" w:hAnsi="Calibri"/>
          <w:color w:val="0070C0"/>
          <w:lang w:val="en-US" w:eastAsia="zh-CN"/>
        </w:rPr>
      </w:pPr>
      <w:r>
        <w:rPr>
          <w:rFonts w:ascii="Calibri" w:eastAsia="SimSun" w:hAnsi="Calibri" w:hint="eastAsia"/>
          <w:color w:val="0070C0"/>
          <w:lang w:val="en-US" w:eastAsia="zh-CN"/>
        </w:rPr>
        <w:t>Consideration on Guideline for Buoy Tender Activities</w:t>
      </w:r>
    </w:p>
    <w:p w14:paraId="21D6BB43" w14:textId="77777777" w:rsidR="005D10F8" w:rsidRDefault="0008562C">
      <w:pPr>
        <w:pStyle w:val="Heading1"/>
      </w:pPr>
      <w:r>
        <w:t>Summary</w:t>
      </w:r>
    </w:p>
    <w:p w14:paraId="45DAC342" w14:textId="203DEBB3" w:rsidR="005D10F8" w:rsidRDefault="0008562C">
      <w:pPr>
        <w:pStyle w:val="BodyText"/>
        <w:rPr>
          <w:rFonts w:ascii="Calibri" w:eastAsia="SimSun" w:hAnsi="Calibri"/>
          <w:lang w:val="en-US" w:eastAsia="zh-CN"/>
        </w:rPr>
      </w:pPr>
      <w:r>
        <w:rPr>
          <w:rFonts w:ascii="Calibri" w:eastAsia="SimSun" w:hAnsi="Calibri" w:hint="eastAsia"/>
          <w:lang w:val="en-US" w:eastAsia="zh-CN"/>
        </w:rPr>
        <w:t xml:space="preserve">Buoy tender activities are important to the management of AtoN, whose safety risk is higher </w:t>
      </w:r>
      <w:r>
        <w:rPr>
          <w:rFonts w:ascii="Calibri" w:eastAsia="SimSun" w:hAnsi="Calibri" w:hint="eastAsia"/>
          <w:u w:val="dotted"/>
          <w:lang w:val="en-US" w:eastAsia="zh-CN"/>
        </w:rPr>
        <w:t xml:space="preserve">than </w:t>
      </w:r>
      <w:r>
        <w:rPr>
          <w:rFonts w:ascii="Calibri" w:eastAsia="SimSun" w:hAnsi="Calibri" w:hint="eastAsia"/>
          <w:lang w:val="en-US" w:eastAsia="zh-CN"/>
        </w:rPr>
        <w:t>other activities. Due to the particularity, there are obvious differences between bu</w:t>
      </w:r>
      <w:r w:rsidR="00F81B5A">
        <w:rPr>
          <w:rFonts w:ascii="Calibri" w:eastAsia="SimSun" w:hAnsi="Calibri" w:hint="eastAsia"/>
          <w:lang w:val="en-US" w:eastAsia="zh-CN"/>
        </w:rPr>
        <w:t>o</w:t>
      </w:r>
      <w:r>
        <w:rPr>
          <w:rFonts w:ascii="Calibri" w:eastAsia="SimSun" w:hAnsi="Calibri" w:hint="eastAsia"/>
          <w:lang w:val="en-US" w:eastAsia="zh-CN"/>
        </w:rPr>
        <w:t>y tender activities and other marine vessel activities. This paper puts forward some suggestions on some factors that should be considered when drafting guideline for buoy tender activities.</w:t>
      </w:r>
    </w:p>
    <w:p w14:paraId="748188DD" w14:textId="77777777" w:rsidR="005D10F8" w:rsidRDefault="0008562C">
      <w:pPr>
        <w:pStyle w:val="Heading2"/>
      </w:pPr>
      <w:r>
        <w:t>Related documents</w:t>
      </w:r>
    </w:p>
    <w:p w14:paraId="286C6C30" w14:textId="77777777" w:rsidR="005D10F8" w:rsidRDefault="0008562C">
      <w:pPr>
        <w:pStyle w:val="References"/>
        <w:rPr>
          <w:rFonts w:ascii="Calibri" w:eastAsia="SimSun" w:hAnsi="Calibri"/>
          <w:lang w:val="en-US" w:eastAsia="zh-CN"/>
        </w:rPr>
      </w:pPr>
      <w:r>
        <w:rPr>
          <w:rFonts w:ascii="Calibri" w:eastAsia="SimSun" w:hAnsi="Calibri" w:hint="eastAsia"/>
          <w:lang w:val="en-US" w:eastAsia="zh-CN"/>
        </w:rPr>
        <w:t>ENG14-3.2.9 Pre-job training course for buoy tender crew</w:t>
      </w:r>
    </w:p>
    <w:p w14:paraId="627F4879" w14:textId="77777777" w:rsidR="005D10F8" w:rsidRDefault="0008562C">
      <w:pPr>
        <w:pStyle w:val="References"/>
        <w:rPr>
          <w:rFonts w:ascii="Calibri" w:eastAsia="SimSun" w:hAnsi="Calibri"/>
          <w:lang w:val="en-US" w:eastAsia="zh-CN"/>
        </w:rPr>
      </w:pPr>
      <w:r>
        <w:rPr>
          <w:rFonts w:ascii="Calibri" w:eastAsia="SimSun" w:hAnsi="Calibri" w:hint="eastAsia"/>
          <w:lang w:val="en-US" w:eastAsia="zh-CN"/>
        </w:rPr>
        <w:t>ENG15-3.1.2.3 Proposals on new guidelines on buoy tender crew operation.</w:t>
      </w:r>
    </w:p>
    <w:p w14:paraId="480C3E65" w14:textId="77777777" w:rsidR="005D10F8" w:rsidRDefault="0008562C">
      <w:pPr>
        <w:pStyle w:val="References"/>
        <w:ind w:left="0" w:firstLine="0"/>
        <w:rPr>
          <w:rFonts w:ascii="Calibri" w:eastAsia="SimSun" w:hAnsi="Calibri"/>
          <w:lang w:val="en-US" w:eastAsia="zh-CN"/>
        </w:rPr>
      </w:pPr>
      <w:r>
        <w:rPr>
          <w:rFonts w:ascii="Calibri" w:eastAsia="SimSun" w:hAnsi="Calibri" w:hint="eastAsia"/>
          <w:lang w:val="en-US" w:eastAsia="zh-CN"/>
        </w:rPr>
        <w:t>ENG16-3.1.2.7 Draft Outline for New Guideline on Buoy Tender Crew Operation</w:t>
      </w:r>
    </w:p>
    <w:p w14:paraId="18C28CE0" w14:textId="77777777" w:rsidR="005D10F8" w:rsidRDefault="0008562C">
      <w:pPr>
        <w:pStyle w:val="References"/>
        <w:ind w:left="0" w:firstLine="0"/>
        <w:rPr>
          <w:rFonts w:ascii="Calibri" w:eastAsia="SimSun" w:hAnsi="Calibri"/>
          <w:lang w:val="en-US" w:eastAsia="zh-CN"/>
        </w:rPr>
      </w:pPr>
      <w:r>
        <w:rPr>
          <w:rFonts w:ascii="Calibri" w:eastAsia="SimSun" w:hAnsi="Calibri" w:hint="eastAsia"/>
          <w:lang w:val="en-US" w:eastAsia="zh-CN"/>
        </w:rPr>
        <w:t>ENG16- 3.2.3 Liaison note to ENG regarding Buoy Tender Crew Training (ARM15-11.2.1.2)</w:t>
      </w:r>
    </w:p>
    <w:p w14:paraId="7AA31B3A" w14:textId="77777777" w:rsidR="005D10F8" w:rsidRDefault="0008562C">
      <w:pPr>
        <w:pStyle w:val="References"/>
        <w:rPr>
          <w:rFonts w:ascii="Calibri" w:eastAsia="SimSun" w:hAnsi="Calibri"/>
          <w:lang w:val="en-US" w:eastAsia="zh-CN"/>
        </w:rPr>
      </w:pPr>
      <w:r>
        <w:rPr>
          <w:rFonts w:ascii="Calibri" w:eastAsia="SimSun" w:hAnsi="Calibri" w:hint="eastAsia"/>
          <w:lang w:val="en-US" w:eastAsia="zh-CN"/>
        </w:rPr>
        <w:t xml:space="preserve">ARM17-7.3.1 Liaison note to ARM regarding Buoy Tender Crew Training </w:t>
      </w:r>
      <w:r>
        <w:rPr>
          <w:rFonts w:ascii="Calibri" w:eastAsia="SimSun" w:hAnsi="Calibri" w:hint="eastAsia"/>
          <w:lang w:val="en-US" w:eastAsia="zh-CN"/>
        </w:rPr>
        <w:t>(ENG16-12.2.5)</w:t>
      </w:r>
    </w:p>
    <w:p w14:paraId="5E588691" w14:textId="77777777" w:rsidR="005D10F8" w:rsidRDefault="0008562C">
      <w:pPr>
        <w:pStyle w:val="Heading1"/>
      </w:pPr>
      <w:r>
        <w:t>Background</w:t>
      </w:r>
    </w:p>
    <w:p w14:paraId="052F4451" w14:textId="60200207" w:rsidR="005D10F8" w:rsidRDefault="0008562C">
      <w:pPr>
        <w:pStyle w:val="BodyText"/>
        <w:rPr>
          <w:rFonts w:ascii="Calibri" w:eastAsia="SimSun" w:hAnsi="Calibri"/>
          <w:lang w:val="en-US" w:eastAsia="zh-CN"/>
        </w:rPr>
      </w:pPr>
      <w:r>
        <w:rPr>
          <w:rFonts w:ascii="Calibri" w:eastAsia="SimSun" w:hAnsi="Calibri" w:hint="eastAsia"/>
          <w:lang w:val="en-US" w:eastAsia="zh-CN"/>
        </w:rPr>
        <w:t>Due to the nature of work, buoy tender frequently carries out activities such as lifting and launching marine equipment and facilities at the edges of waterways, shallow points, or near reefs. These activities are difficult and have high safety risks, requiring operators to have high skills</w:t>
      </w:r>
      <w:bookmarkStart w:id="1" w:name="OLE_LINK3"/>
      <w:r>
        <w:rPr>
          <w:rFonts w:ascii="Calibri" w:eastAsia="SimSun" w:hAnsi="Calibri" w:hint="eastAsia"/>
          <w:lang w:val="en-US" w:eastAsia="zh-CN"/>
        </w:rPr>
        <w:t xml:space="preserve"> and risk prevention capabilities.</w:t>
      </w:r>
      <w:bookmarkEnd w:id="1"/>
      <w:r>
        <w:rPr>
          <w:rFonts w:ascii="Calibri" w:eastAsia="SimSun" w:hAnsi="Calibri" w:hint="eastAsia"/>
          <w:lang w:val="en-US" w:eastAsia="zh-CN"/>
        </w:rPr>
        <w:t xml:space="preserve"> How to make buoy tender activities efficient and safe has always been an important aspect of the work of the competent authorities. At present, there is a lack of guidance on buoy tender activities, and some of the existing generic operation or training guidelines cannot reflect the characteristics of buoy tender.</w:t>
      </w:r>
    </w:p>
    <w:p w14:paraId="015C9086" w14:textId="77777777" w:rsidR="005D10F8" w:rsidRDefault="0008562C">
      <w:pPr>
        <w:pStyle w:val="Heading1"/>
      </w:pPr>
      <w:r>
        <w:t>Discussion</w:t>
      </w:r>
    </w:p>
    <w:p w14:paraId="572127E4"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An international guideline for buoy tender operation should be of general applicability, and be completed in cooperation with representatives of various countries within IALA framework. The guideline should focus on the nature of buoy tenders and highlight safety guidance, and should not be confused with other guidelines for general seagoing vessel.</w:t>
      </w:r>
    </w:p>
    <w:p w14:paraId="2E042D0C" w14:textId="77777777" w:rsidR="005D10F8" w:rsidRDefault="0008562C">
      <w:pPr>
        <w:pStyle w:val="Heading2"/>
        <w:rPr>
          <w:lang w:val="en-US"/>
        </w:rPr>
      </w:pPr>
      <w:bookmarkStart w:id="2" w:name="OLE_LINK1"/>
      <w:r>
        <w:rPr>
          <w:rFonts w:eastAsia="SimSun" w:hint="eastAsia"/>
          <w:lang w:val="en-US" w:eastAsia="zh-CN"/>
        </w:rPr>
        <w:t>Objective of the guideline</w:t>
      </w:r>
    </w:p>
    <w:bookmarkEnd w:id="2"/>
    <w:p w14:paraId="7140F4C8" w14:textId="77777777" w:rsidR="005D10F8" w:rsidRDefault="005D10F8">
      <w:pPr>
        <w:pStyle w:val="BodyText"/>
        <w:rPr>
          <w:rFonts w:ascii="Calibri" w:eastAsia="SimSun" w:hAnsi="Calibri"/>
          <w:lang w:val="en-US" w:eastAsia="zh-CN"/>
        </w:rPr>
      </w:pPr>
    </w:p>
    <w:p w14:paraId="63FB8B2C" w14:textId="77777777" w:rsidR="005D10F8" w:rsidRDefault="005D10F8">
      <w:pPr>
        <w:pStyle w:val="BodyText"/>
        <w:rPr>
          <w:rFonts w:ascii="Calibri" w:eastAsia="SimSun" w:hAnsi="Calibri"/>
          <w:lang w:val="en-US" w:eastAsia="zh-CN"/>
        </w:rPr>
      </w:pPr>
    </w:p>
    <w:p w14:paraId="44171431" w14:textId="4795A3E0" w:rsidR="005D10F8" w:rsidRDefault="0008562C">
      <w:pPr>
        <w:pStyle w:val="BodyText"/>
        <w:rPr>
          <w:rFonts w:ascii="Calibri" w:eastAsia="SimSun" w:hAnsi="Calibri"/>
          <w:lang w:val="en-US" w:eastAsia="zh-CN"/>
        </w:rPr>
      </w:pPr>
      <w:r>
        <w:rPr>
          <w:rFonts w:ascii="Calibri" w:eastAsia="SimSun" w:hAnsi="Calibri" w:hint="eastAsia"/>
          <w:lang w:val="en-US" w:eastAsia="zh-CN"/>
        </w:rPr>
        <w:t>Provide guidance for the competent authority to efficiently and reasonably arrange tender activities, provide safe operation guidelines for tender activities and assist the personnel responsible for tender activities to identify safety risks and take measures.</w:t>
      </w:r>
    </w:p>
    <w:p w14:paraId="446E6348" w14:textId="77777777" w:rsidR="005D10F8" w:rsidRDefault="0008562C">
      <w:pPr>
        <w:pStyle w:val="Heading2"/>
        <w:rPr>
          <w:lang w:val="en-US"/>
        </w:rPr>
      </w:pPr>
      <w:r>
        <w:rPr>
          <w:rFonts w:eastAsia="SimSun" w:hint="eastAsia"/>
          <w:lang w:val="en-US" w:eastAsia="zh-CN"/>
        </w:rPr>
        <w:t>Scope of the guideline</w:t>
      </w:r>
    </w:p>
    <w:p w14:paraId="59E3A5EF" w14:textId="25945BE2" w:rsidR="005D10F8" w:rsidRDefault="0008562C">
      <w:pPr>
        <w:pStyle w:val="BodyText"/>
        <w:rPr>
          <w:rFonts w:ascii="Calibri" w:eastAsia="SimSun" w:hAnsi="Calibri"/>
          <w:lang w:val="en-US" w:eastAsia="zh-CN"/>
        </w:rPr>
      </w:pPr>
      <w:r>
        <w:rPr>
          <w:rFonts w:ascii="Calibri" w:eastAsia="SimSun" w:hAnsi="Calibri" w:hint="eastAsia"/>
          <w:lang w:val="en-US" w:eastAsia="zh-CN"/>
        </w:rPr>
        <w:t>It is applicable to buoy tender activities including the launching, retrieval, adjustment of the buoy and some other operations like loading and unloading, transportation, towing, berthing,</w:t>
      </w:r>
      <w:r w:rsidR="00B82E75">
        <w:rPr>
          <w:rFonts w:ascii="Calibri" w:eastAsia="SimSun" w:hAnsi="Calibri"/>
          <w:lang w:val="en-US" w:eastAsia="zh-CN"/>
        </w:rPr>
        <w:t xml:space="preserve"> </w:t>
      </w:r>
      <w:r>
        <w:rPr>
          <w:rFonts w:ascii="Calibri" w:eastAsia="SimSun" w:hAnsi="Calibri" w:hint="eastAsia"/>
          <w:lang w:val="en-US" w:eastAsia="zh-CN"/>
        </w:rPr>
        <w:t>etc.</w:t>
      </w:r>
    </w:p>
    <w:p w14:paraId="0D61A76E" w14:textId="77777777" w:rsidR="005D10F8" w:rsidRDefault="0008562C">
      <w:pPr>
        <w:pStyle w:val="Heading2"/>
        <w:rPr>
          <w:lang w:val="en-US"/>
        </w:rPr>
      </w:pPr>
      <w:r>
        <w:rPr>
          <w:rFonts w:eastAsia="SimSun" w:hint="eastAsia"/>
          <w:lang w:val="en-US" w:eastAsia="zh-CN"/>
        </w:rPr>
        <w:t>Essential components of the guideline</w:t>
      </w:r>
    </w:p>
    <w:p w14:paraId="7660E61F" w14:textId="7CA6C769" w:rsidR="005D10F8" w:rsidRDefault="0008562C">
      <w:pPr>
        <w:pStyle w:val="BodyText"/>
        <w:rPr>
          <w:rFonts w:ascii="Calibri" w:eastAsia="SimSun" w:hAnsi="Calibri"/>
          <w:lang w:val="en-US" w:eastAsia="zh-CN"/>
        </w:rPr>
      </w:pPr>
      <w:r>
        <w:rPr>
          <w:rFonts w:ascii="Calibri" w:eastAsia="SimSun" w:hAnsi="Calibri" w:hint="eastAsia"/>
          <w:lang w:val="en-US" w:eastAsia="zh-CN"/>
        </w:rPr>
        <w:t>The guideline provides safety operation guidance for buoy tender, and should contain the following information: operation machines on buoy tender, job responsibility on buoy tender, buoy character,</w:t>
      </w:r>
      <w:r w:rsidR="00B82E75">
        <w:rPr>
          <w:rFonts w:ascii="Calibri" w:eastAsia="SimSun" w:hAnsi="Calibri"/>
          <w:lang w:val="en-US" w:eastAsia="zh-CN"/>
        </w:rPr>
        <w:t xml:space="preserve"> </w:t>
      </w:r>
      <w:r>
        <w:rPr>
          <w:rFonts w:ascii="Calibri" w:eastAsia="SimSun" w:hAnsi="Calibri" w:hint="eastAsia"/>
          <w:lang w:val="en-US" w:eastAsia="zh-CN"/>
        </w:rPr>
        <w:t>general buoy operation procedure, safety risk, emergency response. The information included in each section is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0"/>
        <w:gridCol w:w="2361"/>
        <w:gridCol w:w="6047"/>
      </w:tblGrid>
      <w:tr w:rsidR="005D10F8" w14:paraId="29DCA55A" w14:textId="77777777">
        <w:tc>
          <w:tcPr>
            <w:tcW w:w="1252" w:type="dxa"/>
          </w:tcPr>
          <w:p w14:paraId="7E69382E"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Item</w:t>
            </w:r>
          </w:p>
        </w:tc>
        <w:tc>
          <w:tcPr>
            <w:tcW w:w="2414" w:type="dxa"/>
          </w:tcPr>
          <w:p w14:paraId="259D45E8"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Content</w:t>
            </w:r>
          </w:p>
        </w:tc>
        <w:tc>
          <w:tcPr>
            <w:tcW w:w="6273" w:type="dxa"/>
          </w:tcPr>
          <w:p w14:paraId="1D8F9F3D"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description</w:t>
            </w:r>
          </w:p>
        </w:tc>
      </w:tr>
      <w:tr w:rsidR="005D10F8" w14:paraId="315E708A" w14:textId="77777777">
        <w:tc>
          <w:tcPr>
            <w:tcW w:w="1252" w:type="dxa"/>
          </w:tcPr>
          <w:p w14:paraId="10C03E65"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w:t>
            </w:r>
          </w:p>
        </w:tc>
        <w:tc>
          <w:tcPr>
            <w:tcW w:w="2414" w:type="dxa"/>
          </w:tcPr>
          <w:p w14:paraId="3A267438" w14:textId="77777777" w:rsidR="005D10F8" w:rsidRDefault="0008562C">
            <w:pPr>
              <w:pStyle w:val="BodyText"/>
              <w:rPr>
                <w:rFonts w:ascii="Calibri" w:hAnsi="Calibri"/>
              </w:rPr>
            </w:pPr>
            <w:r>
              <w:rPr>
                <w:rFonts w:ascii="Calibri" w:eastAsia="SimSun" w:hAnsi="Calibri" w:hint="eastAsia"/>
                <w:lang w:val="en-US" w:eastAsia="zh-CN"/>
              </w:rPr>
              <w:t>Operation machines</w:t>
            </w:r>
          </w:p>
        </w:tc>
        <w:tc>
          <w:tcPr>
            <w:tcW w:w="6273" w:type="dxa"/>
          </w:tcPr>
          <w:p w14:paraId="704565C7"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 xml:space="preserve">Introductions to buoy tender machines and equipment, including operation deck, buoy pipe, buoy </w:t>
            </w:r>
            <w:r>
              <w:rPr>
                <w:rFonts w:ascii="Calibri" w:eastAsia="SimSun" w:hAnsi="Calibri" w:hint="eastAsia"/>
                <w:lang w:val="en-US" w:eastAsia="zh-CN"/>
              </w:rPr>
              <w:t>store cabin, crane, winch, chain guiding device, string, rope, sleeper, tie tool and so on.</w:t>
            </w:r>
          </w:p>
        </w:tc>
      </w:tr>
      <w:tr w:rsidR="005D10F8" w14:paraId="06698A83" w14:textId="77777777">
        <w:tc>
          <w:tcPr>
            <w:tcW w:w="1252" w:type="dxa"/>
          </w:tcPr>
          <w:p w14:paraId="0F1031AE"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2</w:t>
            </w:r>
          </w:p>
        </w:tc>
        <w:tc>
          <w:tcPr>
            <w:tcW w:w="2414" w:type="dxa"/>
          </w:tcPr>
          <w:p w14:paraId="7B4EA7FD" w14:textId="77777777" w:rsidR="005D10F8" w:rsidRDefault="0008562C">
            <w:pPr>
              <w:pStyle w:val="BodyText"/>
              <w:rPr>
                <w:rFonts w:ascii="Calibri" w:hAnsi="Calibri"/>
              </w:rPr>
            </w:pPr>
            <w:r>
              <w:rPr>
                <w:rFonts w:ascii="Calibri" w:eastAsia="SimSun" w:hAnsi="Calibri" w:hint="eastAsia"/>
                <w:lang w:val="en-US" w:eastAsia="zh-CN"/>
              </w:rPr>
              <w:t xml:space="preserve"> Job responsibility</w:t>
            </w:r>
          </w:p>
        </w:tc>
        <w:tc>
          <w:tcPr>
            <w:tcW w:w="6273" w:type="dxa"/>
          </w:tcPr>
          <w:p w14:paraId="138F9591" w14:textId="38BC280E" w:rsidR="005D10F8" w:rsidRDefault="0008562C">
            <w:pPr>
              <w:pStyle w:val="BodyText"/>
              <w:rPr>
                <w:rFonts w:ascii="Calibri" w:hAnsi="Calibri"/>
                <w:lang w:val="en-US"/>
              </w:rPr>
            </w:pPr>
            <w:r>
              <w:rPr>
                <w:rFonts w:ascii="Calibri" w:eastAsia="SimSun" w:hAnsi="Calibri" w:hint="eastAsia"/>
                <w:lang w:val="en-US" w:eastAsia="zh-CN"/>
              </w:rPr>
              <w:t>Introductions to basic job information and responsibility of bridge</w:t>
            </w:r>
            <w:r w:rsidR="00B82E75">
              <w:rPr>
                <w:rFonts w:ascii="Calibri" w:eastAsia="SimSun" w:hAnsi="Calibri"/>
                <w:lang w:val="en-US" w:eastAsia="zh-CN"/>
              </w:rPr>
              <w:t xml:space="preserve">, </w:t>
            </w:r>
            <w:r>
              <w:rPr>
                <w:rFonts w:ascii="Calibri" w:eastAsia="SimSun" w:hAnsi="Calibri" w:hint="eastAsia"/>
                <w:lang w:val="en-US" w:eastAsia="zh-CN"/>
              </w:rPr>
              <w:t>deck,</w:t>
            </w:r>
            <w:r w:rsidR="00B82E75">
              <w:rPr>
                <w:rFonts w:ascii="Calibri" w:eastAsia="SimSun" w:hAnsi="Calibri"/>
                <w:lang w:val="en-US" w:eastAsia="zh-CN"/>
              </w:rPr>
              <w:t xml:space="preserve"> </w:t>
            </w:r>
            <w:r>
              <w:rPr>
                <w:rFonts w:ascii="Calibri" w:eastAsia="SimSun" w:hAnsi="Calibri" w:hint="eastAsia"/>
                <w:lang w:val="en-US" w:eastAsia="zh-CN"/>
              </w:rPr>
              <w:t>and engine department.</w:t>
            </w:r>
          </w:p>
        </w:tc>
      </w:tr>
      <w:tr w:rsidR="005D10F8" w14:paraId="5A86B5A9" w14:textId="77777777">
        <w:tc>
          <w:tcPr>
            <w:tcW w:w="1252" w:type="dxa"/>
          </w:tcPr>
          <w:p w14:paraId="19F364DC"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3</w:t>
            </w:r>
          </w:p>
        </w:tc>
        <w:tc>
          <w:tcPr>
            <w:tcW w:w="2414" w:type="dxa"/>
            <w:vMerge w:val="restart"/>
          </w:tcPr>
          <w:p w14:paraId="29711847" w14:textId="77777777" w:rsidR="005D10F8" w:rsidRDefault="0008562C">
            <w:pPr>
              <w:pStyle w:val="BodyText"/>
              <w:rPr>
                <w:rFonts w:ascii="Calibri" w:hAnsi="Calibri"/>
              </w:rPr>
            </w:pPr>
            <w:r>
              <w:rPr>
                <w:rFonts w:ascii="Calibri" w:eastAsia="SimSun" w:hAnsi="Calibri" w:hint="eastAsia"/>
                <w:lang w:val="en-US" w:eastAsia="zh-CN"/>
              </w:rPr>
              <w:t>Buoy character</w:t>
            </w:r>
          </w:p>
        </w:tc>
        <w:tc>
          <w:tcPr>
            <w:tcW w:w="6273" w:type="dxa"/>
          </w:tcPr>
          <w:p w14:paraId="72BD12CA" w14:textId="77777777" w:rsidR="005D10F8" w:rsidRDefault="0008562C">
            <w:pPr>
              <w:pStyle w:val="BodyText"/>
              <w:rPr>
                <w:rFonts w:ascii="Calibri" w:hAnsi="Calibri"/>
                <w:lang w:val="en-US"/>
              </w:rPr>
            </w:pPr>
            <w:r>
              <w:rPr>
                <w:rFonts w:ascii="Calibri" w:eastAsia="SimSun" w:hAnsi="Calibri" w:hint="eastAsia"/>
                <w:lang w:val="en-US" w:eastAsia="zh-CN"/>
              </w:rPr>
              <w:t>Introductions to basic buoy characteristic relating to buoy tender operation.</w:t>
            </w:r>
          </w:p>
        </w:tc>
      </w:tr>
      <w:tr w:rsidR="005D10F8" w14:paraId="21925CB1" w14:textId="77777777">
        <w:tc>
          <w:tcPr>
            <w:tcW w:w="1252" w:type="dxa"/>
          </w:tcPr>
          <w:p w14:paraId="7CF3EBFB"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4</w:t>
            </w:r>
          </w:p>
        </w:tc>
        <w:tc>
          <w:tcPr>
            <w:tcW w:w="2414" w:type="dxa"/>
            <w:vMerge/>
          </w:tcPr>
          <w:p w14:paraId="34B10959" w14:textId="77777777" w:rsidR="005D10F8" w:rsidRDefault="005D10F8">
            <w:pPr>
              <w:pStyle w:val="BodyText"/>
              <w:rPr>
                <w:rFonts w:ascii="Calibri" w:hAnsi="Calibri"/>
              </w:rPr>
            </w:pPr>
          </w:p>
        </w:tc>
        <w:tc>
          <w:tcPr>
            <w:tcW w:w="6273" w:type="dxa"/>
          </w:tcPr>
          <w:p w14:paraId="06C07D44" w14:textId="77777777" w:rsidR="005D10F8" w:rsidRDefault="0008562C">
            <w:pPr>
              <w:pStyle w:val="BodyText"/>
              <w:rPr>
                <w:rFonts w:ascii="Calibri" w:hAnsi="Calibri"/>
                <w:lang w:val="en-US"/>
              </w:rPr>
            </w:pPr>
            <w:r>
              <w:rPr>
                <w:rFonts w:ascii="Calibri" w:eastAsia="SimSun" w:hAnsi="Calibri" w:hint="eastAsia"/>
                <w:lang w:val="en-US" w:eastAsia="zh-CN"/>
              </w:rPr>
              <w:t>Introductions to buoy mooring system, buoy position and method of calculation.</w:t>
            </w:r>
          </w:p>
        </w:tc>
      </w:tr>
      <w:tr w:rsidR="005D10F8" w14:paraId="4EA0F8A2" w14:textId="77777777">
        <w:tc>
          <w:tcPr>
            <w:tcW w:w="1252" w:type="dxa"/>
          </w:tcPr>
          <w:p w14:paraId="06FAB49E"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5</w:t>
            </w:r>
          </w:p>
        </w:tc>
        <w:tc>
          <w:tcPr>
            <w:tcW w:w="2414" w:type="dxa"/>
            <w:vMerge w:val="restart"/>
          </w:tcPr>
          <w:p w14:paraId="5AEFBB5B" w14:textId="255970D0" w:rsidR="005D10F8" w:rsidRDefault="0008562C">
            <w:pPr>
              <w:pStyle w:val="BodyText"/>
              <w:rPr>
                <w:rFonts w:ascii="Calibri" w:hAnsi="Calibri"/>
              </w:rPr>
            </w:pPr>
            <w:r>
              <w:rPr>
                <w:rFonts w:ascii="Calibri" w:eastAsia="SimSun" w:hAnsi="Calibri" w:hint="eastAsia"/>
                <w:lang w:val="en-US" w:eastAsia="zh-CN"/>
              </w:rPr>
              <w:t xml:space="preserve">General buoy operation procedure   </w:t>
            </w:r>
          </w:p>
        </w:tc>
        <w:tc>
          <w:tcPr>
            <w:tcW w:w="6273" w:type="dxa"/>
          </w:tcPr>
          <w:p w14:paraId="39F38779"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Loading and unloading procedure.</w:t>
            </w:r>
          </w:p>
        </w:tc>
      </w:tr>
      <w:tr w:rsidR="005D10F8" w14:paraId="1647EE82" w14:textId="77777777">
        <w:tc>
          <w:tcPr>
            <w:tcW w:w="1252" w:type="dxa"/>
          </w:tcPr>
          <w:p w14:paraId="106F4A3A"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6</w:t>
            </w:r>
          </w:p>
        </w:tc>
        <w:tc>
          <w:tcPr>
            <w:tcW w:w="2414" w:type="dxa"/>
            <w:vMerge/>
          </w:tcPr>
          <w:p w14:paraId="187F51B7" w14:textId="77777777" w:rsidR="005D10F8" w:rsidRDefault="005D10F8">
            <w:pPr>
              <w:pStyle w:val="BodyText"/>
              <w:rPr>
                <w:rFonts w:ascii="Calibri" w:hAnsi="Calibri"/>
              </w:rPr>
            </w:pPr>
          </w:p>
        </w:tc>
        <w:tc>
          <w:tcPr>
            <w:tcW w:w="6273" w:type="dxa"/>
          </w:tcPr>
          <w:p w14:paraId="676E8742"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Buoy launching procedure.</w:t>
            </w:r>
          </w:p>
        </w:tc>
      </w:tr>
      <w:tr w:rsidR="005D10F8" w14:paraId="536282EE" w14:textId="77777777">
        <w:tc>
          <w:tcPr>
            <w:tcW w:w="1252" w:type="dxa"/>
          </w:tcPr>
          <w:p w14:paraId="6095AA8C"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7</w:t>
            </w:r>
          </w:p>
        </w:tc>
        <w:tc>
          <w:tcPr>
            <w:tcW w:w="2414" w:type="dxa"/>
            <w:vMerge/>
          </w:tcPr>
          <w:p w14:paraId="68BC94F9" w14:textId="77777777" w:rsidR="005D10F8" w:rsidRDefault="005D10F8">
            <w:pPr>
              <w:pStyle w:val="BodyText"/>
              <w:rPr>
                <w:rFonts w:ascii="Calibri" w:hAnsi="Calibri"/>
              </w:rPr>
            </w:pPr>
          </w:p>
        </w:tc>
        <w:tc>
          <w:tcPr>
            <w:tcW w:w="6273" w:type="dxa"/>
          </w:tcPr>
          <w:p w14:paraId="25AC05AD" w14:textId="7349993A" w:rsidR="005D10F8" w:rsidRDefault="0008562C">
            <w:pPr>
              <w:pStyle w:val="BodyText"/>
              <w:rPr>
                <w:rFonts w:ascii="Calibri" w:eastAsia="SimSun" w:hAnsi="Calibri"/>
                <w:lang w:val="en-US" w:eastAsia="zh-CN"/>
              </w:rPr>
            </w:pPr>
            <w:r>
              <w:rPr>
                <w:rFonts w:ascii="Calibri" w:eastAsia="SimSun" w:hAnsi="Calibri" w:hint="eastAsia"/>
                <w:lang w:val="en-US" w:eastAsia="zh-CN"/>
              </w:rPr>
              <w:t xml:space="preserve">Buoy </w:t>
            </w:r>
            <w:r>
              <w:rPr>
                <w:rFonts w:ascii="Calibri" w:eastAsia="SimSun" w:hAnsi="Calibri" w:hint="eastAsia"/>
                <w:lang w:val="en-US" w:eastAsia="zh-CN"/>
              </w:rPr>
              <w:t>retrieve procedure, including general retrieve operation and operation of retrieving drifting buoy.</w:t>
            </w:r>
          </w:p>
        </w:tc>
      </w:tr>
      <w:tr w:rsidR="005D10F8" w14:paraId="00D0EC2D" w14:textId="77777777">
        <w:tc>
          <w:tcPr>
            <w:tcW w:w="1252" w:type="dxa"/>
          </w:tcPr>
          <w:p w14:paraId="0545D070"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8</w:t>
            </w:r>
          </w:p>
        </w:tc>
        <w:tc>
          <w:tcPr>
            <w:tcW w:w="2414" w:type="dxa"/>
            <w:vMerge/>
          </w:tcPr>
          <w:p w14:paraId="625A0259" w14:textId="77777777" w:rsidR="005D10F8" w:rsidRDefault="005D10F8">
            <w:pPr>
              <w:pStyle w:val="BodyText"/>
              <w:rPr>
                <w:rFonts w:ascii="Calibri" w:hAnsi="Calibri"/>
              </w:rPr>
            </w:pPr>
          </w:p>
        </w:tc>
        <w:tc>
          <w:tcPr>
            <w:tcW w:w="6273" w:type="dxa"/>
          </w:tcPr>
          <w:p w14:paraId="3218E9DF"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Position resetting procedure.</w:t>
            </w:r>
          </w:p>
        </w:tc>
      </w:tr>
      <w:tr w:rsidR="005D10F8" w14:paraId="406BD054" w14:textId="77777777">
        <w:tc>
          <w:tcPr>
            <w:tcW w:w="1252" w:type="dxa"/>
          </w:tcPr>
          <w:p w14:paraId="6A013DDB"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9</w:t>
            </w:r>
          </w:p>
        </w:tc>
        <w:tc>
          <w:tcPr>
            <w:tcW w:w="2414" w:type="dxa"/>
            <w:vMerge/>
          </w:tcPr>
          <w:p w14:paraId="4CAEEDA6" w14:textId="77777777" w:rsidR="005D10F8" w:rsidRDefault="005D10F8">
            <w:pPr>
              <w:pStyle w:val="BodyText"/>
              <w:rPr>
                <w:rFonts w:ascii="Calibri" w:hAnsi="Calibri"/>
              </w:rPr>
            </w:pPr>
          </w:p>
        </w:tc>
        <w:tc>
          <w:tcPr>
            <w:tcW w:w="6273" w:type="dxa"/>
          </w:tcPr>
          <w:p w14:paraId="6DDFDE9B"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Inspection of mooring system.</w:t>
            </w:r>
          </w:p>
        </w:tc>
      </w:tr>
      <w:tr w:rsidR="005D10F8" w14:paraId="2531FE27" w14:textId="77777777">
        <w:trPr>
          <w:trHeight w:val="189"/>
        </w:trPr>
        <w:tc>
          <w:tcPr>
            <w:tcW w:w="1252" w:type="dxa"/>
          </w:tcPr>
          <w:p w14:paraId="0323EF46"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10</w:t>
            </w:r>
          </w:p>
        </w:tc>
        <w:tc>
          <w:tcPr>
            <w:tcW w:w="2414" w:type="dxa"/>
            <w:vMerge/>
          </w:tcPr>
          <w:p w14:paraId="149F1238" w14:textId="77777777" w:rsidR="005D10F8" w:rsidRDefault="005D10F8">
            <w:pPr>
              <w:pStyle w:val="BodyText"/>
              <w:rPr>
                <w:rFonts w:ascii="Calibri" w:hAnsi="Calibri"/>
              </w:rPr>
            </w:pPr>
          </w:p>
        </w:tc>
        <w:tc>
          <w:tcPr>
            <w:tcW w:w="6273" w:type="dxa"/>
          </w:tcPr>
          <w:p w14:paraId="358AB441" w14:textId="698832B7" w:rsidR="005D10F8" w:rsidRDefault="0008562C">
            <w:pPr>
              <w:pStyle w:val="BodyText"/>
              <w:rPr>
                <w:rFonts w:ascii="Calibri" w:eastAsia="SimSun" w:hAnsi="Calibri"/>
                <w:lang w:val="en-US" w:eastAsia="zh-CN"/>
              </w:rPr>
            </w:pPr>
            <w:r>
              <w:rPr>
                <w:rFonts w:ascii="Calibri" w:eastAsia="SimSun" w:hAnsi="Calibri" w:hint="eastAsia"/>
                <w:lang w:val="en-US" w:eastAsia="zh-CN"/>
              </w:rPr>
              <w:t>Large buoy</w:t>
            </w:r>
            <w:r w:rsidR="00B82E75">
              <w:rPr>
                <w:rFonts w:ascii="Calibri" w:eastAsia="SimSun" w:hAnsi="Calibri"/>
                <w:lang w:val="en-US" w:eastAsia="zh-CN"/>
              </w:rPr>
              <w:t xml:space="preserve"> </w:t>
            </w:r>
            <w:r>
              <w:rPr>
                <w:rFonts w:ascii="Calibri" w:eastAsia="SimSun" w:hAnsi="Calibri" w:hint="eastAsia"/>
                <w:lang w:val="en-US" w:eastAsia="zh-CN"/>
              </w:rPr>
              <w:t>(light ship) operation.</w:t>
            </w:r>
          </w:p>
        </w:tc>
      </w:tr>
      <w:tr w:rsidR="005D10F8" w14:paraId="116C8DB0" w14:textId="77777777">
        <w:trPr>
          <w:trHeight w:val="189"/>
        </w:trPr>
        <w:tc>
          <w:tcPr>
            <w:tcW w:w="1252" w:type="dxa"/>
          </w:tcPr>
          <w:p w14:paraId="09EFDE29" w14:textId="77777777" w:rsidR="005D10F8" w:rsidRDefault="0008562C">
            <w:pPr>
              <w:pStyle w:val="BodyText"/>
              <w:rPr>
                <w:rFonts w:eastAsia="SimSun"/>
                <w:lang w:val="en-US" w:eastAsia="zh-CN"/>
              </w:rPr>
            </w:pPr>
            <w:r>
              <w:rPr>
                <w:rFonts w:eastAsia="SimSun" w:hint="eastAsia"/>
                <w:lang w:val="en-US" w:eastAsia="zh-CN"/>
              </w:rPr>
              <w:t>11</w:t>
            </w:r>
          </w:p>
        </w:tc>
        <w:tc>
          <w:tcPr>
            <w:tcW w:w="2414" w:type="dxa"/>
            <w:vMerge/>
          </w:tcPr>
          <w:p w14:paraId="522A8304" w14:textId="77777777" w:rsidR="005D10F8" w:rsidRDefault="005D10F8">
            <w:pPr>
              <w:pStyle w:val="BodyText"/>
            </w:pPr>
          </w:p>
        </w:tc>
        <w:tc>
          <w:tcPr>
            <w:tcW w:w="6273" w:type="dxa"/>
          </w:tcPr>
          <w:p w14:paraId="43F10C2A" w14:textId="290E7F02" w:rsidR="005D10F8" w:rsidRDefault="0008562C">
            <w:pPr>
              <w:pStyle w:val="BodyText"/>
              <w:rPr>
                <w:rFonts w:ascii="Calibri" w:eastAsia="SimSun" w:hAnsi="Calibri"/>
                <w:lang w:val="en-US" w:eastAsia="zh-CN"/>
              </w:rPr>
            </w:pPr>
            <w:r>
              <w:rPr>
                <w:rFonts w:ascii="Calibri" w:eastAsia="SimSun" w:hAnsi="Calibri" w:hint="eastAsia"/>
                <w:lang w:val="en-US" w:eastAsia="zh-CN"/>
              </w:rPr>
              <w:t>Alongside operation</w:t>
            </w:r>
            <w:r w:rsidR="00B82E75">
              <w:rPr>
                <w:rFonts w:ascii="Calibri" w:eastAsia="SimSun" w:hAnsi="Calibri"/>
                <w:lang w:val="en-US" w:eastAsia="zh-CN"/>
              </w:rPr>
              <w:t xml:space="preserve"> </w:t>
            </w:r>
            <w:r>
              <w:rPr>
                <w:rFonts w:ascii="Calibri" w:eastAsia="SimSun" w:hAnsi="Calibri" w:hint="eastAsia"/>
                <w:lang w:val="en-US" w:eastAsia="zh-CN"/>
              </w:rPr>
              <w:t xml:space="preserve">(fix </w:t>
            </w:r>
            <w:r>
              <w:rPr>
                <w:rFonts w:ascii="Calibri" w:eastAsia="SimSun" w:hAnsi="Calibri" w:hint="eastAsia"/>
                <w:lang w:val="en-US" w:eastAsia="zh-CN"/>
              </w:rPr>
              <w:t>mark/off-shore structure)</w:t>
            </w:r>
          </w:p>
        </w:tc>
      </w:tr>
      <w:tr w:rsidR="005D10F8" w14:paraId="63081919" w14:textId="77777777">
        <w:tc>
          <w:tcPr>
            <w:tcW w:w="1252" w:type="dxa"/>
          </w:tcPr>
          <w:p w14:paraId="0C845808"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12</w:t>
            </w:r>
          </w:p>
        </w:tc>
        <w:tc>
          <w:tcPr>
            <w:tcW w:w="2414" w:type="dxa"/>
            <w:vMerge w:val="restart"/>
          </w:tcPr>
          <w:p w14:paraId="4C31DC22"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Safety procedure</w:t>
            </w:r>
          </w:p>
        </w:tc>
        <w:tc>
          <w:tcPr>
            <w:tcW w:w="6273" w:type="dxa"/>
          </w:tcPr>
          <w:p w14:paraId="2FD6EB28" w14:textId="1086885F" w:rsidR="005D10F8" w:rsidRDefault="0008562C">
            <w:pPr>
              <w:pStyle w:val="BodyText"/>
              <w:rPr>
                <w:rFonts w:ascii="Calibri" w:eastAsia="SimSun" w:hAnsi="Calibri"/>
                <w:lang w:val="en-US" w:eastAsia="zh-CN"/>
              </w:rPr>
            </w:pPr>
            <w:r>
              <w:rPr>
                <w:rFonts w:ascii="Calibri" w:eastAsia="SimSun" w:hAnsi="Calibri" w:hint="eastAsia"/>
                <w:lang w:val="en-US" w:eastAsia="zh-CN"/>
              </w:rPr>
              <w:t>Preparation before operation. Making work plan, preparation of machinery, collection and analys</w:t>
            </w:r>
            <w:r w:rsidR="00B82E75">
              <w:rPr>
                <w:rFonts w:ascii="Calibri" w:eastAsia="SimSun" w:hAnsi="Calibri"/>
                <w:lang w:val="en-US" w:eastAsia="zh-CN"/>
              </w:rPr>
              <w:t>is</w:t>
            </w:r>
            <w:r>
              <w:rPr>
                <w:rFonts w:ascii="Calibri" w:eastAsia="SimSun" w:hAnsi="Calibri" w:hint="eastAsia"/>
                <w:lang w:val="en-US" w:eastAsia="zh-CN"/>
              </w:rPr>
              <w:t xml:space="preserve"> of weather/sea/traffic information,</w:t>
            </w:r>
            <w:r w:rsidR="00B82E75">
              <w:rPr>
                <w:rFonts w:ascii="Calibri" w:eastAsia="SimSun" w:hAnsi="Calibri"/>
                <w:lang w:val="en-US" w:eastAsia="zh-CN"/>
              </w:rPr>
              <w:t xml:space="preserve"> </w:t>
            </w:r>
            <w:r>
              <w:rPr>
                <w:rFonts w:ascii="Calibri" w:eastAsia="SimSun" w:hAnsi="Calibri" w:hint="eastAsia"/>
                <w:lang w:val="en-US" w:eastAsia="zh-CN"/>
              </w:rPr>
              <w:t>pre-departure check.</w:t>
            </w:r>
          </w:p>
        </w:tc>
      </w:tr>
      <w:tr w:rsidR="005D10F8" w14:paraId="55DCDB2E" w14:textId="77777777">
        <w:tc>
          <w:tcPr>
            <w:tcW w:w="1252" w:type="dxa"/>
          </w:tcPr>
          <w:p w14:paraId="48B7BD6E"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13</w:t>
            </w:r>
          </w:p>
        </w:tc>
        <w:tc>
          <w:tcPr>
            <w:tcW w:w="2414" w:type="dxa"/>
            <w:vMerge/>
          </w:tcPr>
          <w:p w14:paraId="4BEB0DA3" w14:textId="77777777" w:rsidR="005D10F8" w:rsidRDefault="005D10F8">
            <w:pPr>
              <w:pStyle w:val="BodyText"/>
              <w:rPr>
                <w:rFonts w:ascii="Calibri" w:eastAsia="SimSun" w:hAnsi="Calibri"/>
                <w:lang w:val="en-US" w:eastAsia="zh-CN"/>
              </w:rPr>
            </w:pPr>
          </w:p>
        </w:tc>
        <w:tc>
          <w:tcPr>
            <w:tcW w:w="6273" w:type="dxa"/>
          </w:tcPr>
          <w:p w14:paraId="1376F68B"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Personal protection.</w:t>
            </w:r>
          </w:p>
        </w:tc>
      </w:tr>
      <w:tr w:rsidR="005D10F8" w14:paraId="735A18D8" w14:textId="77777777">
        <w:trPr>
          <w:trHeight w:val="90"/>
        </w:trPr>
        <w:tc>
          <w:tcPr>
            <w:tcW w:w="1252" w:type="dxa"/>
          </w:tcPr>
          <w:p w14:paraId="14D165C1"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14</w:t>
            </w:r>
          </w:p>
        </w:tc>
        <w:tc>
          <w:tcPr>
            <w:tcW w:w="2414" w:type="dxa"/>
            <w:vMerge/>
          </w:tcPr>
          <w:p w14:paraId="4039621F" w14:textId="77777777" w:rsidR="005D10F8" w:rsidRDefault="005D10F8">
            <w:pPr>
              <w:pStyle w:val="BodyText"/>
              <w:rPr>
                <w:rFonts w:ascii="Calibri" w:hAnsi="Calibri"/>
              </w:rPr>
            </w:pPr>
          </w:p>
        </w:tc>
        <w:tc>
          <w:tcPr>
            <w:tcW w:w="6273" w:type="dxa"/>
          </w:tcPr>
          <w:p w14:paraId="74762443"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Lifting buoy at sea</w:t>
            </w:r>
          </w:p>
        </w:tc>
      </w:tr>
      <w:tr w:rsidR="005D10F8" w14:paraId="27E3F53B" w14:textId="77777777">
        <w:tc>
          <w:tcPr>
            <w:tcW w:w="1252" w:type="dxa"/>
          </w:tcPr>
          <w:p w14:paraId="62781612"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15</w:t>
            </w:r>
          </w:p>
        </w:tc>
        <w:tc>
          <w:tcPr>
            <w:tcW w:w="2414" w:type="dxa"/>
            <w:vMerge/>
          </w:tcPr>
          <w:p w14:paraId="33F39744" w14:textId="77777777" w:rsidR="005D10F8" w:rsidRDefault="005D10F8">
            <w:pPr>
              <w:pStyle w:val="BodyText"/>
              <w:rPr>
                <w:rFonts w:ascii="Calibri" w:hAnsi="Calibri"/>
              </w:rPr>
            </w:pPr>
          </w:p>
        </w:tc>
        <w:tc>
          <w:tcPr>
            <w:tcW w:w="6273" w:type="dxa"/>
          </w:tcPr>
          <w:p w14:paraId="22FEE6AB"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Positioning of buoy.</w:t>
            </w:r>
          </w:p>
        </w:tc>
      </w:tr>
      <w:tr w:rsidR="005D10F8" w14:paraId="01635629" w14:textId="77777777">
        <w:tc>
          <w:tcPr>
            <w:tcW w:w="1252" w:type="dxa"/>
          </w:tcPr>
          <w:p w14:paraId="6F439A5E"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16</w:t>
            </w:r>
          </w:p>
        </w:tc>
        <w:tc>
          <w:tcPr>
            <w:tcW w:w="2414" w:type="dxa"/>
            <w:vMerge/>
          </w:tcPr>
          <w:p w14:paraId="0F86025C" w14:textId="77777777" w:rsidR="005D10F8" w:rsidRDefault="005D10F8">
            <w:pPr>
              <w:pStyle w:val="BodyText"/>
              <w:rPr>
                <w:rFonts w:ascii="Calibri" w:hAnsi="Calibri"/>
              </w:rPr>
            </w:pPr>
          </w:p>
        </w:tc>
        <w:tc>
          <w:tcPr>
            <w:tcW w:w="6273" w:type="dxa"/>
          </w:tcPr>
          <w:p w14:paraId="231540CA"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Berthing and unberthing to buoy.</w:t>
            </w:r>
          </w:p>
        </w:tc>
      </w:tr>
      <w:tr w:rsidR="005D10F8" w14:paraId="7916FBCB" w14:textId="77777777">
        <w:tc>
          <w:tcPr>
            <w:tcW w:w="1252" w:type="dxa"/>
          </w:tcPr>
          <w:p w14:paraId="5AED0F07"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17</w:t>
            </w:r>
          </w:p>
        </w:tc>
        <w:tc>
          <w:tcPr>
            <w:tcW w:w="2414" w:type="dxa"/>
            <w:vMerge/>
          </w:tcPr>
          <w:p w14:paraId="536658DC" w14:textId="77777777" w:rsidR="005D10F8" w:rsidRDefault="005D10F8">
            <w:pPr>
              <w:pStyle w:val="BodyText"/>
              <w:rPr>
                <w:rFonts w:ascii="Calibri" w:hAnsi="Calibri"/>
              </w:rPr>
            </w:pPr>
          </w:p>
        </w:tc>
        <w:tc>
          <w:tcPr>
            <w:tcW w:w="6273" w:type="dxa"/>
          </w:tcPr>
          <w:p w14:paraId="186BC2A5"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Loading and unloading and transfer between berth.</w:t>
            </w:r>
          </w:p>
        </w:tc>
      </w:tr>
      <w:tr w:rsidR="005D10F8" w14:paraId="45750934" w14:textId="77777777">
        <w:tc>
          <w:tcPr>
            <w:tcW w:w="1252" w:type="dxa"/>
          </w:tcPr>
          <w:p w14:paraId="01C6A25F"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18</w:t>
            </w:r>
          </w:p>
        </w:tc>
        <w:tc>
          <w:tcPr>
            <w:tcW w:w="2414" w:type="dxa"/>
            <w:vMerge/>
          </w:tcPr>
          <w:p w14:paraId="3C4FC14C" w14:textId="77777777" w:rsidR="005D10F8" w:rsidRDefault="005D10F8">
            <w:pPr>
              <w:pStyle w:val="BodyText"/>
              <w:rPr>
                <w:rFonts w:ascii="Calibri" w:hAnsi="Calibri"/>
              </w:rPr>
            </w:pPr>
          </w:p>
        </w:tc>
        <w:tc>
          <w:tcPr>
            <w:tcW w:w="6273" w:type="dxa"/>
          </w:tcPr>
          <w:p w14:paraId="5AB74F96"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Large buoy operation.</w:t>
            </w:r>
          </w:p>
        </w:tc>
      </w:tr>
      <w:tr w:rsidR="005D10F8" w14:paraId="1DA78652" w14:textId="77777777">
        <w:trPr>
          <w:trHeight w:val="126"/>
        </w:trPr>
        <w:tc>
          <w:tcPr>
            <w:tcW w:w="1252" w:type="dxa"/>
          </w:tcPr>
          <w:p w14:paraId="35EEF652" w14:textId="77777777" w:rsidR="005D10F8" w:rsidRDefault="0008562C">
            <w:pPr>
              <w:pStyle w:val="BodyText"/>
              <w:rPr>
                <w:rFonts w:eastAsia="SimSun"/>
                <w:lang w:val="en-US" w:eastAsia="zh-CN"/>
              </w:rPr>
            </w:pPr>
            <w:r>
              <w:rPr>
                <w:rFonts w:eastAsia="SimSun" w:hint="eastAsia"/>
                <w:lang w:val="en-US" w:eastAsia="zh-CN"/>
              </w:rPr>
              <w:t>19</w:t>
            </w:r>
          </w:p>
        </w:tc>
        <w:tc>
          <w:tcPr>
            <w:tcW w:w="2414" w:type="dxa"/>
            <w:vMerge/>
          </w:tcPr>
          <w:p w14:paraId="2B6C66E1" w14:textId="77777777" w:rsidR="005D10F8" w:rsidRDefault="005D10F8">
            <w:pPr>
              <w:pStyle w:val="BodyText"/>
            </w:pPr>
          </w:p>
        </w:tc>
        <w:tc>
          <w:tcPr>
            <w:tcW w:w="6273" w:type="dxa"/>
          </w:tcPr>
          <w:p w14:paraId="78B39D54"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Searching and recovery of drifting buoy.</w:t>
            </w:r>
          </w:p>
        </w:tc>
      </w:tr>
      <w:tr w:rsidR="005D10F8" w14:paraId="137389D5" w14:textId="77777777">
        <w:trPr>
          <w:trHeight w:val="126"/>
        </w:trPr>
        <w:tc>
          <w:tcPr>
            <w:tcW w:w="1252" w:type="dxa"/>
          </w:tcPr>
          <w:p w14:paraId="3ED8B35C"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lastRenderedPageBreak/>
              <w:t>20</w:t>
            </w:r>
          </w:p>
        </w:tc>
        <w:tc>
          <w:tcPr>
            <w:tcW w:w="2414" w:type="dxa"/>
            <w:vMerge/>
          </w:tcPr>
          <w:p w14:paraId="1A659369" w14:textId="77777777" w:rsidR="005D10F8" w:rsidRDefault="005D10F8">
            <w:pPr>
              <w:pStyle w:val="BodyText"/>
              <w:rPr>
                <w:rFonts w:ascii="Calibri" w:eastAsia="SimSun" w:hAnsi="Calibri"/>
                <w:lang w:val="en-US" w:eastAsia="zh-CN"/>
              </w:rPr>
            </w:pPr>
          </w:p>
        </w:tc>
        <w:tc>
          <w:tcPr>
            <w:tcW w:w="6273" w:type="dxa"/>
          </w:tcPr>
          <w:p w14:paraId="45D4E575"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Operation when rough sea condition.</w:t>
            </w:r>
          </w:p>
        </w:tc>
      </w:tr>
      <w:tr w:rsidR="005D10F8" w14:paraId="0F2D29AF" w14:textId="77777777">
        <w:tc>
          <w:tcPr>
            <w:tcW w:w="1252" w:type="dxa"/>
          </w:tcPr>
          <w:p w14:paraId="527B5910"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21</w:t>
            </w:r>
          </w:p>
        </w:tc>
        <w:tc>
          <w:tcPr>
            <w:tcW w:w="2414" w:type="dxa"/>
            <w:vMerge w:val="restart"/>
          </w:tcPr>
          <w:p w14:paraId="6114ACDA"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 xml:space="preserve">Risk </w:t>
            </w:r>
            <w:r>
              <w:rPr>
                <w:rFonts w:ascii="Calibri" w:eastAsia="SimSun" w:hAnsi="Calibri" w:hint="eastAsia"/>
                <w:lang w:val="en-US" w:eastAsia="zh-CN"/>
              </w:rPr>
              <w:t>management</w:t>
            </w:r>
          </w:p>
        </w:tc>
        <w:tc>
          <w:tcPr>
            <w:tcW w:w="6273" w:type="dxa"/>
          </w:tcPr>
          <w:p w14:paraId="71381291"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Risk checklist.</w:t>
            </w:r>
          </w:p>
        </w:tc>
      </w:tr>
      <w:tr w:rsidR="005D10F8" w14:paraId="798EAE71" w14:textId="77777777">
        <w:tc>
          <w:tcPr>
            <w:tcW w:w="1252" w:type="dxa"/>
          </w:tcPr>
          <w:p w14:paraId="52A4CC5B"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22</w:t>
            </w:r>
          </w:p>
        </w:tc>
        <w:tc>
          <w:tcPr>
            <w:tcW w:w="2414" w:type="dxa"/>
            <w:vMerge/>
          </w:tcPr>
          <w:p w14:paraId="1740983A" w14:textId="77777777" w:rsidR="005D10F8" w:rsidRDefault="005D10F8">
            <w:pPr>
              <w:pStyle w:val="BodyText"/>
              <w:rPr>
                <w:rFonts w:ascii="Calibri" w:hAnsi="Calibri"/>
              </w:rPr>
            </w:pPr>
          </w:p>
        </w:tc>
        <w:tc>
          <w:tcPr>
            <w:tcW w:w="6273" w:type="dxa"/>
          </w:tcPr>
          <w:p w14:paraId="241CA264" w14:textId="77777777" w:rsidR="005D10F8" w:rsidRDefault="0008562C">
            <w:pPr>
              <w:pStyle w:val="BodyText"/>
              <w:rPr>
                <w:rFonts w:ascii="Calibri" w:eastAsia="SimSun" w:hAnsi="Calibri"/>
                <w:lang w:val="en-US" w:eastAsia="zh-CN"/>
              </w:rPr>
            </w:pPr>
            <w:r>
              <w:rPr>
                <w:rFonts w:ascii="Calibri" w:eastAsia="SimSun" w:hAnsi="Calibri" w:hint="eastAsia"/>
                <w:lang w:val="en-US" w:eastAsia="zh-CN"/>
              </w:rPr>
              <w:t>Controlling measures.</w:t>
            </w:r>
          </w:p>
        </w:tc>
      </w:tr>
    </w:tbl>
    <w:p w14:paraId="71C71644" w14:textId="77777777" w:rsidR="005D10F8" w:rsidRDefault="0008562C">
      <w:pPr>
        <w:pStyle w:val="Table"/>
        <w:rPr>
          <w:rFonts w:ascii="Calibri" w:hAnsi="Calibri"/>
        </w:rPr>
      </w:pPr>
      <w:r>
        <w:rPr>
          <w:rFonts w:ascii="Calibri" w:eastAsia="SimSun" w:hAnsi="Calibri" w:hint="eastAsia"/>
          <w:lang w:val="en-US" w:eastAsia="zh-CN"/>
        </w:rPr>
        <w:t>Essential component of the guideline</w:t>
      </w:r>
    </w:p>
    <w:p w14:paraId="7DAE1A39" w14:textId="77777777" w:rsidR="005D10F8" w:rsidRDefault="005D10F8">
      <w:pPr>
        <w:pStyle w:val="List1"/>
        <w:numPr>
          <w:ilvl w:val="0"/>
          <w:numId w:val="0"/>
        </w:numPr>
        <w:rPr>
          <w:rFonts w:ascii="Calibri" w:hAnsi="Calibri"/>
        </w:rPr>
      </w:pPr>
    </w:p>
    <w:p w14:paraId="1B30EFB9" w14:textId="142A69F9" w:rsidR="005D10F8" w:rsidRDefault="0008562C">
      <w:pPr>
        <w:pStyle w:val="Heading2"/>
        <w:rPr>
          <w:lang w:val="en-US"/>
        </w:rPr>
      </w:pPr>
      <w:r>
        <w:rPr>
          <w:rFonts w:eastAsia="SimSun" w:hint="eastAsia"/>
          <w:lang w:val="en-US" w:eastAsia="zh-CN"/>
        </w:rPr>
        <w:t>Other consideration of the guideline</w:t>
      </w:r>
    </w:p>
    <w:p w14:paraId="3F695F27" w14:textId="3A30378B" w:rsidR="005D10F8" w:rsidRDefault="0008562C">
      <w:pPr>
        <w:pStyle w:val="BodyTextIndent"/>
        <w:ind w:left="0"/>
        <w:jc w:val="both"/>
        <w:rPr>
          <w:rFonts w:ascii="Calibri" w:eastAsia="SimSun" w:hAnsi="Calibri"/>
          <w:lang w:val="en-US" w:eastAsia="zh-CN"/>
        </w:rPr>
      </w:pPr>
      <w:r>
        <w:rPr>
          <w:rFonts w:ascii="Calibri" w:eastAsia="SimSun" w:hAnsi="Calibri" w:hint="eastAsia"/>
          <w:lang w:val="en-US" w:eastAsia="zh-CN"/>
        </w:rPr>
        <w:t xml:space="preserve">In recent years, with the development of technology, the number of marine economic activities has been increasing. The </w:t>
      </w:r>
      <w:r>
        <w:rPr>
          <w:rFonts w:ascii="Calibri" w:eastAsia="SimSun" w:hAnsi="Calibri" w:hint="eastAsia"/>
          <w:lang w:val="en-US" w:eastAsia="zh-CN"/>
        </w:rPr>
        <w:t>rise of economic activities such as offshore wind farms and aquaculture have brought new challenges to the activities of buoy tenders. In some cases, the activities are not limited to traditional buoy maintenance activities, which are also the content that the guideline needs to consider.</w:t>
      </w:r>
    </w:p>
    <w:p w14:paraId="487437EE" w14:textId="77777777" w:rsidR="005D10F8" w:rsidRDefault="0008562C">
      <w:pPr>
        <w:pStyle w:val="Heading1"/>
      </w:pPr>
      <w:r>
        <w:t>References</w:t>
      </w:r>
    </w:p>
    <w:p w14:paraId="2D927A5B" w14:textId="77777777" w:rsidR="005D10F8" w:rsidRDefault="0008562C">
      <w:pPr>
        <w:pStyle w:val="References"/>
        <w:numPr>
          <w:ilvl w:val="0"/>
          <w:numId w:val="16"/>
        </w:numPr>
        <w:rPr>
          <w:rFonts w:ascii="Calibri" w:hAnsi="Calibri"/>
        </w:rPr>
      </w:pPr>
      <w:r>
        <w:rPr>
          <w:rFonts w:ascii="Calibri" w:hAnsi="Calibri" w:hint="eastAsia"/>
        </w:rPr>
        <w:t>R0118 (O-118) THE RECORDING OF AIDS TO NAVIGATION POSITIONS</w:t>
      </w:r>
    </w:p>
    <w:p w14:paraId="676CC72E" w14:textId="77777777" w:rsidR="005D10F8" w:rsidRDefault="0008562C">
      <w:pPr>
        <w:pStyle w:val="References"/>
        <w:numPr>
          <w:ilvl w:val="0"/>
          <w:numId w:val="16"/>
        </w:numPr>
        <w:rPr>
          <w:rFonts w:ascii="Calibri" w:hAnsi="Calibri"/>
          <w:lang w:eastAsia="de-DE"/>
        </w:rPr>
      </w:pPr>
      <w:r>
        <w:rPr>
          <w:rFonts w:ascii="Calibri" w:hAnsi="Calibri" w:hint="eastAsia"/>
        </w:rPr>
        <w:t>G1035 AVAILABILITY AND RELIABILITY OF AIDS TO NAVIGATION </w:t>
      </w:r>
      <w:r>
        <w:rPr>
          <w:rFonts w:ascii="Calibri" w:hAnsi="Calibri" w:hint="eastAsia"/>
        </w:rPr>
        <w:t>‐</w:t>
      </w:r>
      <w:r>
        <w:rPr>
          <w:rFonts w:ascii="Calibri" w:hAnsi="Calibri" w:hint="eastAsia"/>
        </w:rPr>
        <w:t> THEORY AND EXAMPLES</w:t>
      </w:r>
    </w:p>
    <w:p w14:paraId="53220C8C" w14:textId="77777777" w:rsidR="005D10F8" w:rsidRDefault="0008562C">
      <w:pPr>
        <w:pStyle w:val="Heading1"/>
      </w:pPr>
      <w:r>
        <w:t>Action requested of the Committee</w:t>
      </w:r>
    </w:p>
    <w:p w14:paraId="5C4832B8" w14:textId="77777777" w:rsidR="005D10F8" w:rsidRDefault="0008562C">
      <w:pPr>
        <w:pStyle w:val="BodyText"/>
        <w:rPr>
          <w:rFonts w:ascii="Calibri" w:hAnsi="Calibri"/>
          <w:color w:val="4F81BD" w:themeColor="accent1"/>
          <w:lang w:eastAsia="en-US"/>
        </w:rPr>
      </w:pPr>
      <w:r>
        <w:rPr>
          <w:rFonts w:ascii="Calibri" w:hAnsi="Calibri"/>
        </w:rPr>
        <w:t>The Committee is requested to</w:t>
      </w:r>
      <w:r>
        <w:rPr>
          <w:rFonts w:ascii="Calibri" w:eastAsia="SimSun" w:hAnsi="Calibri" w:hint="eastAsia"/>
          <w:lang w:val="en-US" w:eastAsia="zh-CN"/>
        </w:rPr>
        <w:t xml:space="preserve"> take consideration of the proposals contained in this document and take appropriate action.</w:t>
      </w:r>
    </w:p>
    <w:sectPr w:rsidR="005D10F8">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D739F" w14:textId="77777777" w:rsidR="001838DE" w:rsidRDefault="001838DE">
      <w:r>
        <w:separator/>
      </w:r>
    </w:p>
  </w:endnote>
  <w:endnote w:type="continuationSeparator" w:id="0">
    <w:p w14:paraId="20AC0887" w14:textId="77777777" w:rsidR="001838DE" w:rsidRDefault="0018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Microsoft Sans Serif"/>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MS Mincho">
    <w:altName w:val="ＭＳ 明朝"/>
    <w:panose1 w:val="02020609040205080304"/>
    <w:charset w:val="80"/>
    <w:family w:val="modern"/>
    <w:pitch w:val="fixed"/>
    <w:sig w:usb0="E00002FF" w:usb1="6AC7FDFB" w:usb2="08000012" w:usb3="00000000" w:csb0="0002009F" w:csb1="00000000"/>
  </w:font>
  <w:font w:name="Wingdings 2">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06E8" w14:textId="77777777" w:rsidR="005D10F8" w:rsidRDefault="0008562C">
    <w:pPr>
      <w:pStyle w:val="Footer"/>
      <w:rPr>
        <w:rFonts w:ascii="Calibri" w:hAnsi="Calibri"/>
      </w:rPr>
    </w:pPr>
    <w:r>
      <w:rPr>
        <w:rFonts w:ascii="Calibri" w:hAnsi="Calibri" w:hint="eastAsia"/>
      </w:rPr>
      <w:t>Consideration on Guideline for Buoy Tender Activities</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72AC" w14:textId="77777777" w:rsidR="001838DE" w:rsidRDefault="001838DE">
      <w:r>
        <w:separator/>
      </w:r>
    </w:p>
  </w:footnote>
  <w:footnote w:type="continuationSeparator" w:id="0">
    <w:p w14:paraId="6A18B97A" w14:textId="77777777" w:rsidR="001838DE" w:rsidRDefault="001838DE">
      <w:r>
        <w:continuationSeparator/>
      </w:r>
    </w:p>
  </w:footnote>
  <w:footnote w:id="1">
    <w:p w14:paraId="04006955" w14:textId="77777777" w:rsidR="005D10F8" w:rsidRDefault="0008562C">
      <w:pPr>
        <w:pStyle w:val="FootnoteText"/>
        <w:rPr>
          <w:rFonts w:eastAsia="SimSun"/>
          <w:lang w:val="en-US" w:eastAsia="zh-CN"/>
        </w:rPr>
      </w:pPr>
      <w:r>
        <w:rPr>
          <w:rStyle w:val="FootnoteReference"/>
        </w:rPr>
        <w:footnoteRef/>
      </w:r>
      <w:r>
        <w:t xml:space="preserve"> </w:t>
      </w:r>
      <w:r>
        <w:rPr>
          <w:sz w:val="16"/>
          <w:szCs w:val="16"/>
        </w:rPr>
        <w:t>Input document number, to be assigned by the Committee Secre</w:t>
      </w:r>
      <w:r>
        <w:rPr>
          <w:rFonts w:eastAsia="SimSun" w:hint="eastAsia"/>
          <w:sz w:val="16"/>
          <w:szCs w:val="16"/>
          <w:lang w:val="en-US" w:eastAsia="zh-CN"/>
        </w:rPr>
        <w:t>tary</w:t>
      </w:r>
    </w:p>
  </w:footnote>
  <w:footnote w:id="2">
    <w:p w14:paraId="1ED58938" w14:textId="77777777" w:rsidR="005D10F8" w:rsidRDefault="0008562C">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B811" w14:textId="5641F139" w:rsidR="005D10F8" w:rsidRDefault="0008562C">
    <w:pPr>
      <w:pStyle w:val="Header"/>
      <w:jc w:val="right"/>
    </w:pPr>
    <w:r>
      <w:rPr>
        <w:noProof/>
      </w:rPr>
      <w:drawing>
        <wp:anchor distT="0" distB="0" distL="114300" distR="114300" simplePos="0" relativeHeight="251657216" behindDoc="0" locked="0" layoutInCell="1" allowOverlap="1" wp14:anchorId="7C5D6C00" wp14:editId="2705449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504594031">
    <w:abstractNumId w:val="2"/>
  </w:num>
  <w:num w:numId="2" w16cid:durableId="1434200820">
    <w:abstractNumId w:val="12"/>
  </w:num>
  <w:num w:numId="3" w16cid:durableId="831067108">
    <w:abstractNumId w:val="8"/>
  </w:num>
  <w:num w:numId="4" w16cid:durableId="1709453913">
    <w:abstractNumId w:val="1"/>
  </w:num>
  <w:num w:numId="5" w16cid:durableId="1954557000">
    <w:abstractNumId w:val="14"/>
  </w:num>
  <w:num w:numId="6" w16cid:durableId="52044021">
    <w:abstractNumId w:val="10"/>
  </w:num>
  <w:num w:numId="7" w16cid:durableId="442238116">
    <w:abstractNumId w:val="9"/>
  </w:num>
  <w:num w:numId="8" w16cid:durableId="401486504">
    <w:abstractNumId w:val="7"/>
  </w:num>
  <w:num w:numId="9" w16cid:durableId="2089880006">
    <w:abstractNumId w:val="13"/>
  </w:num>
  <w:num w:numId="10" w16cid:durableId="1657801575">
    <w:abstractNumId w:val="6"/>
  </w:num>
  <w:num w:numId="11" w16cid:durableId="1731420209">
    <w:abstractNumId w:val="11"/>
  </w:num>
  <w:num w:numId="12" w16cid:durableId="1408503213">
    <w:abstractNumId w:val="3"/>
  </w:num>
  <w:num w:numId="13" w16cid:durableId="561454342">
    <w:abstractNumId w:val="4"/>
  </w:num>
  <w:num w:numId="14" w16cid:durableId="1956672216">
    <w:abstractNumId w:val="5"/>
  </w:num>
  <w:num w:numId="15" w16cid:durableId="526452748">
    <w:abstractNumId w:val="0"/>
  </w:num>
  <w:num w:numId="16" w16cid:durableId="456799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307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kyZGJmZjFjMWUzMzMwYWJhODA4MGM5ZTI3NDgzYjIifQ=="/>
  </w:docVars>
  <w:rsids>
    <w:rsidRoot w:val="00FE5674"/>
    <w:rsid w:val="000005D3"/>
    <w:rsid w:val="000049D8"/>
    <w:rsid w:val="00026AAB"/>
    <w:rsid w:val="00036A03"/>
    <w:rsid w:val="00036B9E"/>
    <w:rsid w:val="00037DF4"/>
    <w:rsid w:val="0004700E"/>
    <w:rsid w:val="00070C13"/>
    <w:rsid w:val="000715C9"/>
    <w:rsid w:val="00084F33"/>
    <w:rsid w:val="0008562C"/>
    <w:rsid w:val="000A77A7"/>
    <w:rsid w:val="000B1707"/>
    <w:rsid w:val="000C1B3E"/>
    <w:rsid w:val="000C349E"/>
    <w:rsid w:val="00110AE7"/>
    <w:rsid w:val="00177F4D"/>
    <w:rsid w:val="00180DDA"/>
    <w:rsid w:val="001838DE"/>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10F8"/>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766DC"/>
    <w:rsid w:val="00B82E75"/>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4754D"/>
    <w:rsid w:val="00F60608"/>
    <w:rsid w:val="00F62217"/>
    <w:rsid w:val="00F81B5A"/>
    <w:rsid w:val="00FB17A9"/>
    <w:rsid w:val="00FB527C"/>
    <w:rsid w:val="00FB6F75"/>
    <w:rsid w:val="00FC0EB3"/>
    <w:rsid w:val="00FD675E"/>
    <w:rsid w:val="00FE5674"/>
    <w:rsid w:val="07F7667D"/>
    <w:rsid w:val="0D093EDE"/>
    <w:rsid w:val="105C7514"/>
    <w:rsid w:val="175C2B15"/>
    <w:rsid w:val="186D1BA6"/>
    <w:rsid w:val="1F9E787F"/>
    <w:rsid w:val="205C383A"/>
    <w:rsid w:val="285629B6"/>
    <w:rsid w:val="2BA55E78"/>
    <w:rsid w:val="2C5F5F9D"/>
    <w:rsid w:val="2F7F6177"/>
    <w:rsid w:val="363642D7"/>
    <w:rsid w:val="3E576A7D"/>
    <w:rsid w:val="47FC7932"/>
    <w:rsid w:val="4D81245C"/>
    <w:rsid w:val="4E261CD9"/>
    <w:rsid w:val="566413BC"/>
    <w:rsid w:val="585A65D3"/>
    <w:rsid w:val="5C6A7B40"/>
    <w:rsid w:val="63882902"/>
    <w:rsid w:val="6A4902FD"/>
    <w:rsid w:val="6FEB4041"/>
    <w:rsid w:val="71320F1A"/>
    <w:rsid w:val="72027423"/>
    <w:rsid w:val="722E0DCC"/>
    <w:rsid w:val="72EE578B"/>
    <w:rsid w:val="79654892"/>
    <w:rsid w:val="7BD50FE3"/>
    <w:rsid w:val="7E7166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2"/>
    </o:shapelayout>
  </w:shapeDefaults>
  <w:decimalSymbol w:val="."/>
  <w:listSeparator w:val=","/>
  <w14:docId w14:val="14BE7D89"/>
  <w15:docId w15:val="{6DA19C7A-210A-41E0-970E-FA536138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autoRedefine/>
    <w:qFormat/>
    <w:pPr>
      <w:spacing w:after="120"/>
      <w:ind w:left="567"/>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autoRedefine/>
    <w:qFormat/>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cs="Calibri"/>
      <w:b/>
      <w:caps/>
      <w:color w:val="0070C0"/>
      <w:kern w:val="28"/>
      <w:sz w:val="24"/>
      <w:szCs w:val="22"/>
      <w:lang w:eastAsia="de-DE"/>
    </w:rPr>
  </w:style>
  <w:style w:type="character" w:customStyle="1" w:styleId="Heading2Char">
    <w:name w:val="Heading 2 Char"/>
    <w:link w:val="Heading2"/>
    <w:autoRedefine/>
    <w:qFormat/>
    <w:rPr>
      <w:rFonts w:cs="Calibri"/>
      <w:b/>
      <w:color w:val="0070C0"/>
      <w:sz w:val="24"/>
      <w:szCs w:val="24"/>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Arial" w:hAnsi="Arial" w:cs="Times New Roman"/>
      <w:szCs w:val="24"/>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autoRedefine/>
    <w:qFormat/>
    <w:rPr>
      <w:rFonts w:ascii="Arial" w:eastAsia="Times New Roman" w:hAnsi="Arial" w:cs="Times New Roman"/>
      <w:szCs w:val="20"/>
      <w:lang w:val="de-DE" w:eastAsia="de-DE"/>
    </w:rPr>
  </w:style>
  <w:style w:type="character" w:customStyle="1" w:styleId="Heading6Char">
    <w:name w:val="Heading 6 Char"/>
    <w:link w:val="Heading6"/>
    <w:autoRedefine/>
    <w:qFormat/>
    <w:rPr>
      <w:rFonts w:ascii="Arial" w:hAnsi="Arial" w:cs="Calibri"/>
      <w:szCs w:val="20"/>
      <w:lang w:val="de-DE" w:eastAsia="de-DE"/>
    </w:rPr>
  </w:style>
  <w:style w:type="character" w:customStyle="1" w:styleId="Heading7Char">
    <w:name w:val="Heading 7 Char"/>
    <w:link w:val="Heading7"/>
    <w:autoRedefine/>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numPr>
        <w:numId w:val="12"/>
      </w:numPr>
      <w:spacing w:after="120"/>
    </w:pPr>
    <w:rPr>
      <w:szCs w:val="20"/>
    </w:rPr>
  </w:style>
  <w:style w:type="paragraph" w:customStyle="1" w:styleId="AppendixHeading1">
    <w:name w:val="Appendix Heading 1"/>
    <w:basedOn w:val="Normal"/>
    <w:next w:val="BodyText"/>
    <w:autoRedefine/>
    <w:qFormat/>
    <w:pPr>
      <w:numPr>
        <w:numId w:val="13"/>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3"/>
      </w:numPr>
      <w:spacing w:before="120" w:after="120"/>
    </w:pPr>
    <w:rPr>
      <w:rFonts w:cs="Arial"/>
      <w:b/>
    </w:rPr>
  </w:style>
  <w:style w:type="paragraph" w:customStyle="1" w:styleId="AppendixHeading3">
    <w:name w:val="Appendix Heading 3"/>
    <w:basedOn w:val="Normal"/>
    <w:next w:val="Normal"/>
    <w:autoRedefine/>
    <w:qFormat/>
    <w:pPr>
      <w:numPr>
        <w:ilvl w:val="2"/>
        <w:numId w:val="13"/>
      </w:numPr>
      <w:spacing w:before="120" w:after="120"/>
    </w:pPr>
    <w:rPr>
      <w:rFonts w:cs="Arial"/>
    </w:rPr>
  </w:style>
  <w:style w:type="paragraph" w:customStyle="1" w:styleId="AppendixHeading4">
    <w:name w:val="Appendix Heading 4"/>
    <w:basedOn w:val="Normal"/>
    <w:next w:val="BodyText"/>
    <w:autoRedefine/>
    <w:qFormat/>
    <w:pPr>
      <w:numPr>
        <w:ilvl w:val="3"/>
        <w:numId w:val="13"/>
      </w:numPr>
      <w:spacing w:before="120" w:after="120"/>
    </w:pPr>
    <w:rPr>
      <w:rFonts w:cs="Arial"/>
    </w:rPr>
  </w:style>
  <w:style w:type="paragraph" w:customStyle="1" w:styleId="equation">
    <w:name w:val="equation"/>
    <w:basedOn w:val="Normal"/>
    <w:next w:val="BodyText"/>
    <w:autoRedefine/>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BF4AFEE2-B57C-484A-A357-217959179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4448</Characters>
  <Application>Microsoft Office Word</Application>
  <DocSecurity>0</DocSecurity>
  <Lines>37</Lines>
  <Paragraphs>10</Paragraphs>
  <ScaleCrop>false</ScaleCrop>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10</cp:revision>
  <dcterms:created xsi:type="dcterms:W3CDTF">2021-01-22T11:23:00Z</dcterms:created>
  <dcterms:modified xsi:type="dcterms:W3CDTF">2024-03-27T10:57:00Z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2052-12.1.0.16250</vt:lpwstr>
  </property>
  <property fmtid="{D5CDD505-2E9C-101B-9397-08002B2CF9AE}" pid="5" name="ICV">
    <vt:lpwstr>F8A99ECCF9044A65A895C9AA5B394183_13</vt:lpwstr>
  </property>
  <property fmtid="{D5CDD505-2E9C-101B-9397-08002B2CF9AE}" pid="6" name="MediaServiceImageTags">
    <vt:lpwstr/>
  </property>
</Properties>
</file>