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1EC28467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7B3EDD" w:rsidRPr="007B3EDD">
        <w:rPr>
          <w:rFonts w:ascii="Calibri" w:hAnsi="Calibri"/>
        </w:rPr>
        <w:t>DTEC2-5.2.3.9</w:t>
      </w:r>
    </w:p>
    <w:p w14:paraId="5A14DE03" w14:textId="77777777" w:rsidR="00BF32F0" w:rsidRPr="007A395D" w:rsidRDefault="00BF32F0" w:rsidP="00873B76">
      <w:pPr>
        <w:pStyle w:val="BodyText"/>
      </w:pPr>
    </w:p>
    <w:p w14:paraId="22E94D0E" w14:textId="77777777" w:rsidR="00D019CE" w:rsidRPr="007A395D" w:rsidRDefault="00D019CE" w:rsidP="00873B76">
      <w:pPr>
        <w:pStyle w:val="BodyText"/>
      </w:pPr>
    </w:p>
    <w:p w14:paraId="370CFB53" w14:textId="296CB3CA" w:rsidR="0080294B" w:rsidRPr="007A395D" w:rsidRDefault="00E558C3" w:rsidP="00873B76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6F102648" w:rsidR="0080294B" w:rsidRPr="007A395D" w:rsidRDefault="0080294B" w:rsidP="00873B76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DF25EC"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A24C8A" w:rsidRPr="00A24C8A">
        <w:t>X</w:t>
      </w:r>
      <w:r w:rsidRPr="007A395D">
        <w:t xml:space="preserve">  Input</w:t>
      </w:r>
    </w:p>
    <w:p w14:paraId="0BC79547" w14:textId="31D3DE58" w:rsidR="0080294B" w:rsidRPr="007A395D" w:rsidRDefault="00DF25EC" w:rsidP="00873B76">
      <w:pPr>
        <w:pStyle w:val="BodyText"/>
      </w:pPr>
      <w:proofErr w:type="gramStart"/>
      <w:r>
        <w:t>X</w:t>
      </w:r>
      <w:r w:rsidR="0080294B" w:rsidRPr="007A395D">
        <w:t xml:space="preserve">  </w:t>
      </w:r>
      <w:r w:rsidR="00B61923">
        <w:t>DTEC</w:t>
      </w:r>
      <w:proofErr w:type="gramEnd"/>
      <w:r w:rsidR="0080294B" w:rsidRPr="007A395D">
        <w:rPr>
          <w:b/>
        </w:rPr>
        <w:tab/>
        <w:t>□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873B76">
      <w:pPr>
        <w:pStyle w:val="BodyText"/>
      </w:pPr>
    </w:p>
    <w:p w14:paraId="4DD25FD9" w14:textId="72144501" w:rsidR="00A446C9" w:rsidRPr="007A395D" w:rsidRDefault="00A446C9" w:rsidP="00873B76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proofErr w:type="spellStart"/>
      <w:r w:rsidR="0080294B" w:rsidRPr="007A395D">
        <w:t>n.n</w:t>
      </w:r>
      <w:proofErr w:type="spellEnd"/>
    </w:p>
    <w:p w14:paraId="1AB3E246" w14:textId="6BDE76DC" w:rsidR="00A446C9" w:rsidRPr="007A395D" w:rsidRDefault="0080294B" w:rsidP="00873B76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Pr="007A395D">
        <w:t>…………………………………</w:t>
      </w:r>
    </w:p>
    <w:p w14:paraId="01FC5420" w14:textId="2008D301" w:rsidR="00362CD9" w:rsidRPr="007A395D" w:rsidRDefault="00362CD9" w:rsidP="00873B76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A24C8A">
        <w:t>GLA R&amp;D (GRAD)</w:t>
      </w:r>
    </w:p>
    <w:p w14:paraId="60BCC120" w14:textId="77777777" w:rsidR="0080294B" w:rsidRPr="007A395D" w:rsidRDefault="0080294B" w:rsidP="00873B76">
      <w:pPr>
        <w:pStyle w:val="BodyText"/>
      </w:pPr>
    </w:p>
    <w:p w14:paraId="4834080C" w14:textId="5063BB77" w:rsidR="00A446C9" w:rsidRPr="00605E43" w:rsidRDefault="00A24C8A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Draft New Guideline on VDES Authentication Techniques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512F8236" w:rsidR="00E55927" w:rsidRPr="007A395D" w:rsidRDefault="00873B76" w:rsidP="00873B76">
      <w:pPr>
        <w:pStyle w:val="BodyText"/>
      </w:pPr>
      <w:r w:rsidRPr="00873B76">
        <w:t xml:space="preserve">This document describes the </w:t>
      </w:r>
      <w:r w:rsidR="00166B98">
        <w:t xml:space="preserve">intended </w:t>
      </w:r>
      <w:r w:rsidRPr="00873B76">
        <w:t xml:space="preserve">approach </w:t>
      </w:r>
      <w:r w:rsidR="00166B98">
        <w:t xml:space="preserve">for </w:t>
      </w:r>
      <w:r w:rsidRPr="00873B76">
        <w:t xml:space="preserve">the development of a new IALA Guideline on VDES Authentication Techniques.  It provides </w:t>
      </w:r>
      <w:r w:rsidR="00166B98">
        <w:t xml:space="preserve">a </w:t>
      </w:r>
      <w:r w:rsidRPr="00873B76">
        <w:t>high-level overview of the content of the proposed guideline and seeks feedback from the Committee.</w:t>
      </w:r>
    </w:p>
    <w:p w14:paraId="36D645BE" w14:textId="4BCAD8F5" w:rsidR="00B56BDF" w:rsidRDefault="00B56BDF" w:rsidP="00605E43">
      <w:pPr>
        <w:pStyle w:val="Heading2"/>
      </w:pPr>
      <w:r w:rsidRPr="007A395D">
        <w:t>Related documents</w:t>
      </w:r>
    </w:p>
    <w:p w14:paraId="3FF1FE5A" w14:textId="49C4DEBF" w:rsidR="00873B76" w:rsidRDefault="00873B76" w:rsidP="00873B76">
      <w:pPr>
        <w:pStyle w:val="BodyText"/>
      </w:pPr>
      <w:r>
        <w:t xml:space="preserve">IALA Recommendation 1007 </w:t>
      </w:r>
      <w:r>
        <w:fldChar w:fldCharType="begin"/>
      </w:r>
      <w:r>
        <w:instrText xml:space="preserve"> ADDIN ZOTERO_ITEM CSL_CITATION {"citationID":"BhJ9Tfor","properties":{"formattedCitation":"[1]","plainCitation":"[1]","noteIndex":0},"citationItems":[{"id":3009,"uris":["http://zotero.org/users/2197752/items/2VRWWDXP"],"itemData":{"id":3009,"type":"report","event-place":"St-Germain-en-Laye, France","genre":"Recommendation","number":"1007 Ed. 1.1","publisher-place":"St-Germain-en-Laye, France","title":"VHF Data Exchange System (VDES) for Shore Infrastructure","URL":"https://www.iala-aism.org/product/r1007/","author":[{"literal":"International Association of Marine Aids to Navigation and Lighthouse Authorities (IALA)"}],"accessed":{"date-parts":[["2024",2,23]]},"issued":{"date-parts":[["2017",6]]}}}],"schema":"https://github.com/citation-style-language/schema/raw/master/csl-citation.json"} </w:instrText>
      </w:r>
      <w:r>
        <w:fldChar w:fldCharType="separate"/>
      </w:r>
      <w:r w:rsidRPr="00873B76">
        <w:t>[1]</w:t>
      </w:r>
      <w:r>
        <w:fldChar w:fldCharType="end"/>
      </w:r>
    </w:p>
    <w:p w14:paraId="031FFFD2" w14:textId="526E3DC2" w:rsidR="00873B76" w:rsidRDefault="00873B76" w:rsidP="00873B76">
      <w:pPr>
        <w:pStyle w:val="BodyText"/>
      </w:pPr>
      <w:r>
        <w:t xml:space="preserve">IALA Recommendation 1017 </w:t>
      </w:r>
      <w:r>
        <w:fldChar w:fldCharType="begin"/>
      </w:r>
      <w:r>
        <w:instrText xml:space="preserve"> ADDIN ZOTERO_ITEM CSL_CITATION {"citationID":"1AjxboOk","properties":{"formattedCitation":"[2]","plainCitation":"[2]","noteIndex":0},"citationItems":[{"id":1980,"uris":["http://zotero.org/users/2197752/items/YJX3TA7A"],"itemData":{"id":1980,"type":"report","event-place":"St-Germain-en-Laye, France","genre":"Recommendation","number":"R1017 Ed. 1.1","publisher-place":"St-Germain-en-Laye, France","title":"Resilient Position Navigation and Timing (PNT)","URL":"https://www.iala-aism.org/product/r1017/","author":[{"literal":"International Association of Marine Aids to Navigation and Lighthouse Authorities (IALA)"}],"accessed":{"date-parts":[["2024",2,23]]},"issued":{"date-parts":[["2018",12]]}}}],"schema":"https://github.com/citation-style-language/schema/raw/master/csl-citation.json"} </w:instrText>
      </w:r>
      <w:r>
        <w:fldChar w:fldCharType="separate"/>
      </w:r>
      <w:r w:rsidRPr="00873B76">
        <w:t>[2]</w:t>
      </w:r>
      <w:r>
        <w:fldChar w:fldCharType="end"/>
      </w:r>
    </w:p>
    <w:p w14:paraId="1C6503B6" w14:textId="55590FEA" w:rsidR="00873B76" w:rsidRDefault="00873B76" w:rsidP="00873B76">
      <w:pPr>
        <w:pStyle w:val="BodyText"/>
      </w:pPr>
      <w:r>
        <w:t xml:space="preserve">IALA Guideline 1117 </w:t>
      </w:r>
      <w:r>
        <w:fldChar w:fldCharType="begin"/>
      </w:r>
      <w:r>
        <w:instrText xml:space="preserve"> ADDIN ZOTERO_ITEM CSL_CITATION {"citationID":"fJCcHGIv","properties":{"formattedCitation":"[3]","plainCitation":"[3]","noteIndex":0},"citationItems":[{"id":1618,"uris":["http://zotero.org/users/2197752/items/AZMALTXT"],"itemData":{"id":1618,"type":"report","genre":"Guideline","number":"1117 Ed. 3","title":"VHF Data Exchange System (VDES) Overview","URL":"https://www.iala-aism.org/product/g1117/","author":[{"literal":"International Association of Marine Aids to Navigation and Lighthouse Authorities (IALA)"}],"accessed":{"date-parts":[["2023",8,29]]},"issued":{"date-parts":[["2022",12]]}}}],"schema":"https://github.com/citation-style-language/schema/raw/master/csl-citation.json"} </w:instrText>
      </w:r>
      <w:r>
        <w:fldChar w:fldCharType="separate"/>
      </w:r>
      <w:r w:rsidRPr="00873B76">
        <w:t>[3]</w:t>
      </w:r>
      <w:r>
        <w:fldChar w:fldCharType="end"/>
      </w:r>
    </w:p>
    <w:p w14:paraId="1076EADE" w14:textId="3E829551" w:rsidR="00873B76" w:rsidRPr="00873B76" w:rsidRDefault="00873B76" w:rsidP="00873B76">
      <w:pPr>
        <w:pStyle w:val="BodyText"/>
      </w:pPr>
      <w:r>
        <w:t xml:space="preserve">IALA Guideline 1158 </w:t>
      </w:r>
      <w:r>
        <w:fldChar w:fldCharType="begin"/>
      </w:r>
      <w:r>
        <w:instrText xml:space="preserve"> ADDIN ZOTERO_ITEM CSL_CITATION {"citationID":"cAJou54E","properties":{"formattedCitation":"[4]","plainCitation":"[4]","noteIndex":0},"citationItems":[{"id":470,"uris":["http://zotero.org/users/2197752/items/FV92AKWF"],"itemData":{"id":470,"type":"report","event-place":"St-Germain-en-Laye, France","genre":"Guideline","number":"1158 Ed. 1.1","publisher-place":"St-Germain-en-Laye, France","title":"VDES R-Mode","URL":"https://www.iala-aism.org/product/g1158-vdes-r-mode/","author":[{"literal":"International Association of Marine Aids to Navigation and Lighthouse Authorities (IALA)"}],"issued":{"date-parts":[["2020",12]]}}}],"schema":"https://github.com/citation-style-language/schema/raw/master/csl-citation.json"} </w:instrText>
      </w:r>
      <w:r>
        <w:fldChar w:fldCharType="separate"/>
      </w:r>
      <w:r w:rsidRPr="00873B76">
        <w:t>[4]</w:t>
      </w:r>
      <w:r>
        <w:fldChar w:fldCharType="end"/>
      </w:r>
    </w:p>
    <w:p w14:paraId="53733F03" w14:textId="08AB2E03" w:rsidR="00A446C9" w:rsidRDefault="00A446C9" w:rsidP="00605E43">
      <w:pPr>
        <w:pStyle w:val="Heading1"/>
      </w:pPr>
      <w:r w:rsidRPr="007A395D">
        <w:t>Background</w:t>
      </w:r>
    </w:p>
    <w:p w14:paraId="2A10DE97" w14:textId="22689065" w:rsidR="00873B76" w:rsidRPr="00873B76" w:rsidRDefault="00873B76" w:rsidP="00873B76">
      <w:pPr>
        <w:pStyle w:val="BodyText"/>
        <w:rPr>
          <w:lang w:eastAsia="de-DE"/>
        </w:rPr>
      </w:pPr>
      <w:r>
        <w:rPr>
          <w:lang w:eastAsia="de-DE"/>
        </w:rPr>
        <w:t xml:space="preserve">During IALA DTEC1, GRAD was </w:t>
      </w:r>
      <w:r w:rsidR="00556C86">
        <w:rPr>
          <w:lang w:eastAsia="de-DE"/>
        </w:rPr>
        <w:t xml:space="preserve">assigned the </w:t>
      </w:r>
      <w:r>
        <w:rPr>
          <w:lang w:eastAsia="de-DE"/>
        </w:rPr>
        <w:t>task</w:t>
      </w:r>
      <w:r w:rsidR="00556C86">
        <w:rPr>
          <w:lang w:eastAsia="de-DE"/>
        </w:rPr>
        <w:t xml:space="preserve"> of</w:t>
      </w:r>
      <w:r>
        <w:rPr>
          <w:lang w:eastAsia="de-DE"/>
        </w:rPr>
        <w:t xml:space="preserve"> coordinating the development of a new IALA Guideline on VDES Authentication Techniques. This guideline </w:t>
      </w:r>
      <w:r w:rsidR="00556C86">
        <w:rPr>
          <w:lang w:eastAsia="de-DE"/>
        </w:rPr>
        <w:t xml:space="preserve">aims </w:t>
      </w:r>
      <w:r>
        <w:rPr>
          <w:lang w:eastAsia="de-DE"/>
        </w:rPr>
        <w:t>to provide the maritime community with guidance on the use of cryptographic authentication techniques to ensure the integrity and authenticity of VDES communications.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7C5E1800" w14:textId="54AE9723" w:rsidR="00F25BF4" w:rsidRPr="007A395D" w:rsidRDefault="00873B76" w:rsidP="00605E43">
      <w:pPr>
        <w:pStyle w:val="Heading2"/>
      </w:pPr>
      <w:r>
        <w:t>Proposed Approach</w:t>
      </w:r>
    </w:p>
    <w:p w14:paraId="6811149D" w14:textId="12729A9E" w:rsidR="00F25BF4" w:rsidRDefault="00873B76" w:rsidP="002C52A5">
      <w:pPr>
        <w:pStyle w:val="Heading3"/>
      </w:pPr>
      <w:r w:rsidRPr="002C52A5">
        <w:t>Document</w:t>
      </w:r>
      <w:r>
        <w:t xml:space="preserve"> Format</w:t>
      </w:r>
    </w:p>
    <w:p w14:paraId="51A252F3" w14:textId="5546D7BB" w:rsidR="00873B76" w:rsidRDefault="00873B76" w:rsidP="00873B76">
      <w:pPr>
        <w:pStyle w:val="BodyText"/>
        <w:rPr>
          <w:lang w:eastAsia="de-DE"/>
        </w:rPr>
      </w:pPr>
      <w:r w:rsidRPr="00873B76">
        <w:rPr>
          <w:lang w:eastAsia="de-DE"/>
        </w:rPr>
        <w:t xml:space="preserve">We </w:t>
      </w:r>
      <w:r w:rsidR="00556C86">
        <w:rPr>
          <w:lang w:eastAsia="de-DE"/>
        </w:rPr>
        <w:t>intend</w:t>
      </w:r>
      <w:r w:rsidRPr="00873B76">
        <w:rPr>
          <w:lang w:eastAsia="de-DE"/>
        </w:rPr>
        <w:t xml:space="preserve"> to write </w:t>
      </w:r>
      <w:r w:rsidR="00F56C67">
        <w:rPr>
          <w:lang w:eastAsia="de-DE"/>
        </w:rPr>
        <w:t xml:space="preserve">the </w:t>
      </w:r>
      <w:r w:rsidRPr="00873B76">
        <w:rPr>
          <w:lang w:eastAsia="de-DE"/>
        </w:rPr>
        <w:t>document in Markdown, a plain text format that facilitates online collaboration and version co</w:t>
      </w:r>
      <w:r w:rsidR="005D7456">
        <w:rPr>
          <w:lang w:eastAsia="de-DE"/>
        </w:rPr>
        <w:t>ntrol. Markdown offers a</w:t>
      </w:r>
      <w:r w:rsidRPr="00873B76">
        <w:rPr>
          <w:lang w:eastAsia="de-DE"/>
        </w:rPr>
        <w:t xml:space="preserve"> lightweight syntax that supports features such as</w:t>
      </w:r>
      <w:r w:rsidR="00556C86">
        <w:rPr>
          <w:lang w:eastAsia="de-DE"/>
        </w:rPr>
        <w:t xml:space="preserve"> cross-referencing and LaTeX-style</w:t>
      </w:r>
      <w:r w:rsidRPr="00873B76">
        <w:rPr>
          <w:lang w:eastAsia="de-DE"/>
        </w:rPr>
        <w:t xml:space="preserve"> math</w:t>
      </w:r>
      <w:r>
        <w:rPr>
          <w:lang w:eastAsia="de-DE"/>
        </w:rPr>
        <w:t>ematics</w:t>
      </w:r>
      <w:r w:rsidRPr="00873B76">
        <w:rPr>
          <w:lang w:eastAsia="de-DE"/>
        </w:rPr>
        <w:t xml:space="preserve">, making it a suitable choice for technical documentation. </w:t>
      </w:r>
      <w:r w:rsidR="005D7456">
        <w:rPr>
          <w:lang w:eastAsia="de-DE"/>
        </w:rPr>
        <w:t xml:space="preserve">Its </w:t>
      </w:r>
      <w:r w:rsidRPr="00873B76">
        <w:rPr>
          <w:lang w:eastAsia="de-DE"/>
        </w:rPr>
        <w:t xml:space="preserve">use also allows for automatic conversion to various document formats, including </w:t>
      </w:r>
      <w:r w:rsidR="00B361E6">
        <w:rPr>
          <w:lang w:eastAsia="de-DE"/>
        </w:rPr>
        <w:t>‘</w:t>
      </w:r>
      <w:r w:rsidRPr="00873B76">
        <w:rPr>
          <w:lang w:eastAsia="de-DE"/>
        </w:rPr>
        <w:t>.docx</w:t>
      </w:r>
      <w:r w:rsidR="00B361E6">
        <w:rPr>
          <w:lang w:eastAsia="de-DE"/>
        </w:rPr>
        <w:t>’</w:t>
      </w:r>
      <w:r w:rsidRPr="00873B76">
        <w:rPr>
          <w:lang w:eastAsia="de-DE"/>
        </w:rPr>
        <w:t xml:space="preserve"> and </w:t>
      </w:r>
      <w:r w:rsidR="00B361E6">
        <w:rPr>
          <w:lang w:eastAsia="de-DE"/>
        </w:rPr>
        <w:t>‘</w:t>
      </w:r>
      <w:r w:rsidRPr="00873B76">
        <w:rPr>
          <w:lang w:eastAsia="de-DE"/>
        </w:rPr>
        <w:t>.pdf</w:t>
      </w:r>
      <w:r w:rsidR="00B361E6">
        <w:rPr>
          <w:lang w:eastAsia="de-DE"/>
        </w:rPr>
        <w:t>’</w:t>
      </w:r>
      <w:r w:rsidRPr="00873B76">
        <w:rPr>
          <w:lang w:eastAsia="de-DE"/>
        </w:rPr>
        <w:t xml:space="preserve">. </w:t>
      </w:r>
      <w:r w:rsidR="005D7456">
        <w:rPr>
          <w:lang w:eastAsia="de-DE"/>
        </w:rPr>
        <w:t>To ensure consistency in formatting, we have created a</w:t>
      </w:r>
      <w:r w:rsidRPr="00873B76">
        <w:rPr>
          <w:lang w:eastAsia="de-DE"/>
        </w:rPr>
        <w:t xml:space="preserve"> template </w:t>
      </w:r>
      <w:r w:rsidR="005D7456">
        <w:rPr>
          <w:lang w:eastAsia="de-DE"/>
        </w:rPr>
        <w:t xml:space="preserve">that </w:t>
      </w:r>
      <w:r w:rsidRPr="00873B76">
        <w:rPr>
          <w:lang w:eastAsia="de-DE"/>
        </w:rPr>
        <w:t>align</w:t>
      </w:r>
      <w:r w:rsidR="005D7456">
        <w:rPr>
          <w:lang w:eastAsia="de-DE"/>
        </w:rPr>
        <w:t>s</w:t>
      </w:r>
      <w:r w:rsidRPr="00873B76">
        <w:rPr>
          <w:lang w:eastAsia="de-DE"/>
        </w:rPr>
        <w:t xml:space="preserve"> with the IALA Style Guide.</w:t>
      </w:r>
    </w:p>
    <w:p w14:paraId="4DEB5719" w14:textId="419F35C0" w:rsidR="002C52A5" w:rsidRDefault="002C52A5" w:rsidP="002C52A5">
      <w:pPr>
        <w:pStyle w:val="Heading3"/>
      </w:pPr>
      <w:r>
        <w:lastRenderedPageBreak/>
        <w:t>Version Control</w:t>
      </w:r>
    </w:p>
    <w:p w14:paraId="3E5C244D" w14:textId="36492DC2" w:rsidR="002C52A5" w:rsidRDefault="002C52A5" w:rsidP="002C52A5">
      <w:pPr>
        <w:pStyle w:val="BodyText"/>
        <w:rPr>
          <w:lang w:eastAsia="de-DE"/>
        </w:rPr>
      </w:pPr>
      <w:r>
        <w:rPr>
          <w:lang w:eastAsia="de-DE"/>
        </w:rPr>
        <w:t xml:space="preserve">We use Git/GitHub for version control. The ‘main’ branch in our GitHub repository serves as the single source of truth for our documents, </w:t>
      </w:r>
      <w:r w:rsidR="00DF5F49">
        <w:rPr>
          <w:lang w:eastAsia="de-DE"/>
        </w:rPr>
        <w:t xml:space="preserve">preventing </w:t>
      </w:r>
      <w:r>
        <w:rPr>
          <w:lang w:eastAsia="de-DE"/>
        </w:rPr>
        <w:t xml:space="preserve">potential confusion due to multiple document versions in circulation. Documents </w:t>
      </w:r>
      <w:r w:rsidR="00DF5F49">
        <w:rPr>
          <w:lang w:eastAsia="de-DE"/>
        </w:rPr>
        <w:t xml:space="preserve">can be </w:t>
      </w:r>
      <w:r>
        <w:rPr>
          <w:lang w:eastAsia="de-DE"/>
        </w:rPr>
        <w:t>preview</w:t>
      </w:r>
      <w:r w:rsidR="00DF5F49">
        <w:rPr>
          <w:lang w:eastAsia="de-DE"/>
        </w:rPr>
        <w:t>ed</w:t>
      </w:r>
      <w:r>
        <w:rPr>
          <w:lang w:eastAsia="de-DE"/>
        </w:rPr>
        <w:t xml:space="preserve"> on GitHub at any time, and updated ‘.docx’ files are automatically generated </w:t>
      </w:r>
      <w:r w:rsidR="00DF5F49">
        <w:rPr>
          <w:lang w:eastAsia="de-DE"/>
        </w:rPr>
        <w:t xml:space="preserve">and made available </w:t>
      </w:r>
      <w:r>
        <w:rPr>
          <w:lang w:eastAsia="de-DE"/>
        </w:rPr>
        <w:t>when</w:t>
      </w:r>
      <w:r w:rsidR="00DF5F49">
        <w:rPr>
          <w:lang w:eastAsia="de-DE"/>
        </w:rPr>
        <w:t>ever</w:t>
      </w:r>
      <w:r>
        <w:rPr>
          <w:lang w:eastAsia="de-DE"/>
        </w:rPr>
        <w:t xml:space="preserve"> new content is merged into the ‘main’ branch.</w:t>
      </w:r>
    </w:p>
    <w:p w14:paraId="0B822E1A" w14:textId="4B25C29E" w:rsidR="00B361E6" w:rsidRDefault="00B361E6" w:rsidP="00B361E6">
      <w:pPr>
        <w:pStyle w:val="Heading3"/>
      </w:pPr>
      <w:r>
        <w:t>Contribution Process</w:t>
      </w:r>
    </w:p>
    <w:p w14:paraId="5AB4A3B9" w14:textId="2192B236" w:rsidR="00873B76" w:rsidRDefault="00B361E6" w:rsidP="00B361E6">
      <w:pPr>
        <w:pStyle w:val="BodyText"/>
        <w:rPr>
          <w:lang w:eastAsia="de-DE"/>
        </w:rPr>
      </w:pPr>
      <w:r>
        <w:rPr>
          <w:lang w:eastAsia="de-DE"/>
        </w:rPr>
        <w:t xml:space="preserve">Contributors are invited to propose changes by submitting ‘pull requests’ on GitHub at their convenience. </w:t>
      </w:r>
      <w:r w:rsidR="00AA4B15">
        <w:rPr>
          <w:lang w:eastAsia="de-DE"/>
        </w:rPr>
        <w:t>C</w:t>
      </w:r>
      <w:r>
        <w:rPr>
          <w:lang w:eastAsia="de-DE"/>
        </w:rPr>
        <w:t xml:space="preserve">ontributions </w:t>
      </w:r>
      <w:r w:rsidR="000C232A">
        <w:rPr>
          <w:lang w:eastAsia="de-DE"/>
        </w:rPr>
        <w:t xml:space="preserve">via </w:t>
      </w:r>
      <w:r>
        <w:rPr>
          <w:lang w:eastAsia="de-DE"/>
        </w:rPr>
        <w:t xml:space="preserve">GitHub </w:t>
      </w:r>
      <w:r w:rsidR="00AA4B15">
        <w:rPr>
          <w:lang w:eastAsia="de-DE"/>
        </w:rPr>
        <w:t xml:space="preserve">are preferred </w:t>
      </w:r>
      <w:r>
        <w:rPr>
          <w:lang w:eastAsia="de-DE"/>
        </w:rPr>
        <w:t>for efficiency and traceability. Change proposals will be processed during official meetings of IALA DTEC Working Group 3. This proce</w:t>
      </w:r>
      <w:r w:rsidR="00AA4B15">
        <w:rPr>
          <w:lang w:eastAsia="de-DE"/>
        </w:rPr>
        <w:t>dure</w:t>
      </w:r>
      <w:r>
        <w:rPr>
          <w:lang w:eastAsia="de-DE"/>
        </w:rPr>
        <w:t xml:space="preserve"> ensures that all changes are reviewed and agreed upon by the working group members before they are incorporated into the official document.</w:t>
      </w:r>
    </w:p>
    <w:p w14:paraId="07644AA6" w14:textId="0A6D0AE7" w:rsidR="00B361E6" w:rsidRDefault="00B361E6" w:rsidP="00B361E6">
      <w:pPr>
        <w:pStyle w:val="Heading2"/>
        <w:rPr>
          <w:lang w:eastAsia="de-DE"/>
        </w:rPr>
      </w:pPr>
      <w:r>
        <w:rPr>
          <w:lang w:eastAsia="de-DE"/>
        </w:rPr>
        <w:t>Proposed Document Structure</w:t>
      </w:r>
    </w:p>
    <w:p w14:paraId="19E96C7F" w14:textId="77777777" w:rsidR="00B361E6" w:rsidRDefault="00B361E6" w:rsidP="00B361E6">
      <w:pPr>
        <w:pStyle w:val="BodyText"/>
        <w:rPr>
          <w:lang w:eastAsia="de-DE"/>
        </w:rPr>
      </w:pPr>
      <w:r>
        <w:rPr>
          <w:lang w:eastAsia="de-DE"/>
        </w:rPr>
        <w:t>We propose the following structure for the guideline as a starting point for discussion:</w:t>
      </w:r>
    </w:p>
    <w:p w14:paraId="6C2CF6AE" w14:textId="5E55AA48" w:rsidR="00B361E6" w:rsidRDefault="00B361E6" w:rsidP="00B361E6">
      <w:pPr>
        <w:pStyle w:val="List1"/>
      </w:pPr>
      <w:r>
        <w:t>Introduction</w:t>
      </w:r>
    </w:p>
    <w:p w14:paraId="6CEF8526" w14:textId="3ED4296A" w:rsidR="00B361E6" w:rsidRDefault="00B361E6" w:rsidP="00B361E6">
      <w:pPr>
        <w:pStyle w:val="Bullet1"/>
      </w:pPr>
      <w:r>
        <w:t>High-level introduction to VDES and the need for authentication in the maritime domain</w:t>
      </w:r>
    </w:p>
    <w:p w14:paraId="3BD40721" w14:textId="203278AD" w:rsidR="00B361E6" w:rsidRDefault="00B361E6" w:rsidP="00B361E6">
      <w:pPr>
        <w:pStyle w:val="Bullet1"/>
      </w:pPr>
      <w:r>
        <w:t>Document purpose</w:t>
      </w:r>
    </w:p>
    <w:p w14:paraId="50224E6F" w14:textId="3CA133A6" w:rsidR="00B361E6" w:rsidRDefault="00B361E6" w:rsidP="00B361E6">
      <w:pPr>
        <w:pStyle w:val="Bullet1"/>
      </w:pPr>
      <w:r>
        <w:t>Scope</w:t>
      </w:r>
    </w:p>
    <w:p w14:paraId="4842E993" w14:textId="6D9426A1" w:rsidR="00B361E6" w:rsidRDefault="00B361E6" w:rsidP="00B361E6">
      <w:pPr>
        <w:pStyle w:val="List1"/>
      </w:pPr>
      <w:r>
        <w:t>VDES Overview</w:t>
      </w:r>
    </w:p>
    <w:p w14:paraId="1B6E4473" w14:textId="43E21483" w:rsidR="00B361E6" w:rsidRDefault="00B361E6" w:rsidP="00B361E6">
      <w:pPr>
        <w:pStyle w:val="Bullet1"/>
      </w:pPr>
      <w:r>
        <w:t>VDES architecture</w:t>
      </w:r>
    </w:p>
    <w:p w14:paraId="7044C1BF" w14:textId="30CD39F1" w:rsidR="00B361E6" w:rsidRDefault="00B361E6" w:rsidP="00B361E6">
      <w:pPr>
        <w:pStyle w:val="Bullet1"/>
      </w:pPr>
      <w:r>
        <w:t>Summary of pertinent technical characteristics</w:t>
      </w:r>
    </w:p>
    <w:p w14:paraId="0CB1117D" w14:textId="3E9BD4FD" w:rsidR="00B361E6" w:rsidRDefault="00B361E6" w:rsidP="00B361E6">
      <w:pPr>
        <w:pStyle w:val="List1"/>
      </w:pPr>
      <w:r>
        <w:t>Possible Attack Vectors and Impact on Operations</w:t>
      </w:r>
    </w:p>
    <w:p w14:paraId="7EA98ED5" w14:textId="0E15EBE2" w:rsidR="00B361E6" w:rsidRDefault="00B361E6" w:rsidP="00DF5FEE">
      <w:pPr>
        <w:pStyle w:val="Bullet1"/>
      </w:pPr>
      <w:r>
        <w:t>Spoofing GNSS and the need for resilient PNT</w:t>
      </w:r>
    </w:p>
    <w:p w14:paraId="49D98361" w14:textId="55867608" w:rsidR="00B361E6" w:rsidRDefault="00DF5FEE" w:rsidP="00DF5FEE">
      <w:pPr>
        <w:pStyle w:val="Bullet1"/>
      </w:pPr>
      <w:r>
        <w:t>S</w:t>
      </w:r>
      <w:r w:rsidR="00B361E6">
        <w:t>poofing VDES messages</w:t>
      </w:r>
    </w:p>
    <w:p w14:paraId="3891FFC6" w14:textId="629F0F4E" w:rsidR="00B361E6" w:rsidRDefault="00B361E6" w:rsidP="00DF5FEE">
      <w:pPr>
        <w:pStyle w:val="Bullet1"/>
      </w:pPr>
      <w:r>
        <w:t>Other</w:t>
      </w:r>
    </w:p>
    <w:p w14:paraId="540E191C" w14:textId="7AFF4FD4" w:rsidR="00B361E6" w:rsidRDefault="00B361E6" w:rsidP="00DF5FEE">
      <w:pPr>
        <w:pStyle w:val="Bullet1"/>
      </w:pPr>
      <w:r>
        <w:t>Impact on operations, including examples of past incidents</w:t>
      </w:r>
    </w:p>
    <w:p w14:paraId="058A8D68" w14:textId="1889C913" w:rsidR="00B361E6" w:rsidRDefault="00B361E6" w:rsidP="00B361E6">
      <w:pPr>
        <w:pStyle w:val="List1"/>
      </w:pPr>
      <w:r>
        <w:t>Fundamental Concepts of Cryptographic Authentication</w:t>
      </w:r>
    </w:p>
    <w:p w14:paraId="7C1B0668" w14:textId="570DC11F" w:rsidR="00B361E6" w:rsidRDefault="00B361E6" w:rsidP="00DF5FEE">
      <w:pPr>
        <w:pStyle w:val="Bullet1"/>
      </w:pPr>
      <w:r>
        <w:t>Distinction between authentication and encryption</w:t>
      </w:r>
    </w:p>
    <w:p w14:paraId="33D1BFF0" w14:textId="7833CFC2" w:rsidR="00B361E6" w:rsidRDefault="00B361E6" w:rsidP="00DF5FEE">
      <w:pPr>
        <w:pStyle w:val="Bullet1"/>
      </w:pPr>
      <w:r>
        <w:t>Symmetric vs. asymmetric cryptography</w:t>
      </w:r>
    </w:p>
    <w:p w14:paraId="10BD3348" w14:textId="1DF45B46" w:rsidR="00B361E6" w:rsidRDefault="00B361E6" w:rsidP="00DF5FEE">
      <w:pPr>
        <w:pStyle w:val="Bullet1"/>
      </w:pPr>
      <w:r>
        <w:t>Digital signatures</w:t>
      </w:r>
    </w:p>
    <w:p w14:paraId="45650382" w14:textId="5AD5D177" w:rsidR="00B361E6" w:rsidRDefault="00B361E6" w:rsidP="00DF5FEE">
      <w:pPr>
        <w:pStyle w:val="Bullet1"/>
      </w:pPr>
      <w:r>
        <w:t>TESLA (Timed Efficient Stream Loss-tolerant Authentication)</w:t>
      </w:r>
    </w:p>
    <w:p w14:paraId="4F446E76" w14:textId="5251EFE6" w:rsidR="00B361E6" w:rsidRDefault="00B361E6" w:rsidP="00DF5FEE">
      <w:pPr>
        <w:pStyle w:val="Bullet1"/>
      </w:pPr>
      <w:r>
        <w:t>Public Key Infrastructure</w:t>
      </w:r>
    </w:p>
    <w:p w14:paraId="0F4E95B6" w14:textId="1D642E2B" w:rsidR="00B361E6" w:rsidRDefault="00B361E6" w:rsidP="00DF5FEE">
      <w:pPr>
        <w:pStyle w:val="Bullet1"/>
      </w:pPr>
      <w:r>
        <w:t>Certificate Authorities</w:t>
      </w:r>
    </w:p>
    <w:p w14:paraId="1E7DA66C" w14:textId="04C9616B" w:rsidR="00B361E6" w:rsidRDefault="00B361E6" w:rsidP="00B361E6">
      <w:pPr>
        <w:pStyle w:val="List1"/>
      </w:pPr>
      <w:r>
        <w:t>Challenges to VDES Authentication</w:t>
      </w:r>
    </w:p>
    <w:p w14:paraId="5066D9C0" w14:textId="58BDC812" w:rsidR="00B361E6" w:rsidRDefault="00B361E6" w:rsidP="00DA591E">
      <w:pPr>
        <w:pStyle w:val="Bullet1"/>
      </w:pPr>
      <w:r>
        <w:t>Backwards compatibility requirements</w:t>
      </w:r>
    </w:p>
    <w:p w14:paraId="14BC6ADA" w14:textId="303DC3FF" w:rsidR="00B361E6" w:rsidRDefault="00B361E6" w:rsidP="00DA591E">
      <w:pPr>
        <w:pStyle w:val="Bullet1"/>
      </w:pPr>
      <w:r>
        <w:t>Low data rate</w:t>
      </w:r>
    </w:p>
    <w:p w14:paraId="1B5BE758" w14:textId="4F08CFEB" w:rsidR="00B361E6" w:rsidRDefault="00B361E6" w:rsidP="00DA591E">
      <w:pPr>
        <w:pStyle w:val="Bullet1"/>
      </w:pPr>
      <w:r>
        <w:t>Key and certificate management</w:t>
      </w:r>
    </w:p>
    <w:p w14:paraId="2FC6CCA6" w14:textId="7F78DDB6" w:rsidR="00B361E6" w:rsidRDefault="00B361E6" w:rsidP="00DA591E">
      <w:pPr>
        <w:pStyle w:val="Bullet1"/>
      </w:pPr>
      <w:r>
        <w:t>Quantum computing and implications for the long term</w:t>
      </w:r>
    </w:p>
    <w:p w14:paraId="09CAE102" w14:textId="50780359" w:rsidR="00B361E6" w:rsidRDefault="00B361E6" w:rsidP="00B361E6">
      <w:pPr>
        <w:pStyle w:val="List1"/>
      </w:pPr>
      <w:r>
        <w:t>VDES Authentication Requirements</w:t>
      </w:r>
    </w:p>
    <w:p w14:paraId="36E166C9" w14:textId="4DA54E62" w:rsidR="00B361E6" w:rsidRDefault="00B361E6" w:rsidP="005506B9">
      <w:pPr>
        <w:pStyle w:val="Bullet1"/>
      </w:pPr>
      <w:r>
        <w:t>Requirements at the e-navigation system/infrastructure level (consider specific applications / use cases / services and any regulatory requirements)</w:t>
      </w:r>
    </w:p>
    <w:p w14:paraId="0030F0AF" w14:textId="43533300" w:rsidR="00B361E6" w:rsidRDefault="00B361E6" w:rsidP="005506B9">
      <w:pPr>
        <w:pStyle w:val="Bullet1"/>
      </w:pPr>
      <w:r>
        <w:lastRenderedPageBreak/>
        <w:t>Reference e-navigation system/infrastructure architecture</w:t>
      </w:r>
    </w:p>
    <w:p w14:paraId="708E1DDF" w14:textId="28FC1A3A" w:rsidR="00B361E6" w:rsidRDefault="00B361E6" w:rsidP="005506B9">
      <w:pPr>
        <w:pStyle w:val="Bullet1"/>
      </w:pPr>
      <w:r>
        <w:t>Derived requirements for VDES and related system elements</w:t>
      </w:r>
    </w:p>
    <w:p w14:paraId="4B959057" w14:textId="2C45397A" w:rsidR="00B361E6" w:rsidRDefault="00B361E6" w:rsidP="00B361E6">
      <w:pPr>
        <w:pStyle w:val="List1"/>
      </w:pPr>
      <w:r>
        <w:t>Potential Solutions (may be multiple sections)</w:t>
      </w:r>
    </w:p>
    <w:p w14:paraId="7E295744" w14:textId="16BA9092" w:rsidR="00B361E6" w:rsidRDefault="00B361E6" w:rsidP="00AC0F1C">
      <w:pPr>
        <w:pStyle w:val="Bullet1"/>
      </w:pPr>
      <w:r>
        <w:t>Overview of solutions</w:t>
      </w:r>
    </w:p>
    <w:p w14:paraId="1305BD26" w14:textId="442F28BE" w:rsidR="00B361E6" w:rsidRDefault="00B361E6" w:rsidP="00AC0F1C">
      <w:pPr>
        <w:pStyle w:val="Bullet1"/>
      </w:pPr>
      <w:r>
        <w:t xml:space="preserve">Detailed description of each candidate </w:t>
      </w:r>
      <w:r w:rsidR="00BB0548">
        <w:t>solution</w:t>
      </w:r>
    </w:p>
    <w:p w14:paraId="5E360E94" w14:textId="5F566E00" w:rsidR="00B361E6" w:rsidRDefault="00B361E6" w:rsidP="00AC0F1C">
      <w:pPr>
        <w:pStyle w:val="Bullet1"/>
      </w:pPr>
      <w:r>
        <w:t>Anticipated interactions with non-VDES system elements, e.g. to support key and certificate management (Maritime Connectivity Platform)</w:t>
      </w:r>
    </w:p>
    <w:p w14:paraId="7FA292F7" w14:textId="5E9A435B" w:rsidR="00B361E6" w:rsidRDefault="00B361E6" w:rsidP="00B361E6">
      <w:pPr>
        <w:pStyle w:val="List1"/>
      </w:pPr>
      <w:r>
        <w:t>Discussion</w:t>
      </w:r>
    </w:p>
    <w:p w14:paraId="11B84CF5" w14:textId="7185D241" w:rsidR="00B361E6" w:rsidRDefault="00B361E6" w:rsidP="00845C77">
      <w:pPr>
        <w:pStyle w:val="Bullet1"/>
      </w:pPr>
      <w:r>
        <w:t>Assessment of each solution against the requirements</w:t>
      </w:r>
    </w:p>
    <w:p w14:paraId="666D1949" w14:textId="065A6CA0" w:rsidR="00B361E6" w:rsidRDefault="00B361E6" w:rsidP="00845C77">
      <w:pPr>
        <w:pStyle w:val="Bullet1"/>
      </w:pPr>
      <w:r>
        <w:t>Trade-offs</w:t>
      </w:r>
    </w:p>
    <w:p w14:paraId="1B064502" w14:textId="2CF65746" w:rsidR="00B361E6" w:rsidRDefault="00B361E6" w:rsidP="00B361E6">
      <w:pPr>
        <w:pStyle w:val="List1"/>
      </w:pPr>
      <w:r>
        <w:t>Next Steps</w:t>
      </w:r>
    </w:p>
    <w:p w14:paraId="318556BD" w14:textId="4F9FDB56" w:rsidR="00B361E6" w:rsidRDefault="00B361E6" w:rsidP="00845C77">
      <w:pPr>
        <w:pStyle w:val="Bullet1"/>
      </w:pPr>
      <w:r>
        <w:t>Recommendations for further work (short-term actions, long-term strategies, further research)</w:t>
      </w:r>
    </w:p>
    <w:p w14:paraId="635D5AB0" w14:textId="47ACD565" w:rsidR="00B361E6" w:rsidRDefault="00B361E6" w:rsidP="00845C77">
      <w:pPr>
        <w:pStyle w:val="Bullet1"/>
      </w:pPr>
      <w:r>
        <w:t>Feedback mechanism</w:t>
      </w:r>
    </w:p>
    <w:p w14:paraId="63446471" w14:textId="46202D7D" w:rsidR="00B361E6" w:rsidRDefault="00B361E6" w:rsidP="00B361E6">
      <w:pPr>
        <w:pStyle w:val="List1"/>
      </w:pPr>
      <w:r>
        <w:t>Definitions</w:t>
      </w:r>
    </w:p>
    <w:p w14:paraId="6EE03E56" w14:textId="37DF4149" w:rsidR="00B361E6" w:rsidRDefault="00B361E6" w:rsidP="00B361E6">
      <w:pPr>
        <w:pStyle w:val="List1"/>
      </w:pPr>
      <w:r>
        <w:t>Abbreviations</w:t>
      </w:r>
    </w:p>
    <w:p w14:paraId="28E00E3B" w14:textId="1EE58170" w:rsidR="00B361E6" w:rsidRDefault="00B361E6" w:rsidP="00B361E6">
      <w:pPr>
        <w:pStyle w:val="List1"/>
      </w:pPr>
      <w:r>
        <w:t>References</w:t>
      </w:r>
    </w:p>
    <w:p w14:paraId="1DDBC17A" w14:textId="07504549" w:rsidR="00B361E6" w:rsidRDefault="00B361E6" w:rsidP="00B361E6">
      <w:pPr>
        <w:pStyle w:val="List1"/>
      </w:pPr>
      <w:r>
        <w:t>Annexes</w:t>
      </w:r>
    </w:p>
    <w:p w14:paraId="14302AF8" w14:textId="5AA0E6C0" w:rsidR="00B361E6" w:rsidRPr="00873B76" w:rsidRDefault="00B361E6" w:rsidP="00845C77">
      <w:pPr>
        <w:pStyle w:val="Bullet1"/>
      </w:pPr>
      <w:r>
        <w:t>Case studies and examples of implementation</w:t>
      </w:r>
    </w:p>
    <w:p w14:paraId="1D083D92" w14:textId="462022E1" w:rsidR="00180DDA" w:rsidRDefault="00180DDA" w:rsidP="00605E43">
      <w:pPr>
        <w:pStyle w:val="Heading1"/>
      </w:pPr>
      <w:r w:rsidRPr="007A395D">
        <w:t>References</w:t>
      </w:r>
    </w:p>
    <w:p w14:paraId="1DD70A48" w14:textId="77777777" w:rsidR="00873B76" w:rsidRPr="00873B76" w:rsidRDefault="00873B76" w:rsidP="00873B76">
      <w:pPr>
        <w:pStyle w:val="Bibliography"/>
        <w:rPr>
          <w:rFonts w:ascii="Calibri" w:hAnsi="Calibri"/>
        </w:rPr>
      </w:pPr>
      <w:r>
        <w:rPr>
          <w:lang w:eastAsia="de-DE"/>
        </w:rPr>
        <w:fldChar w:fldCharType="begin"/>
      </w:r>
      <w:r>
        <w:rPr>
          <w:lang w:eastAsia="de-DE"/>
        </w:rPr>
        <w:instrText xml:space="preserve"> ADDIN ZOTERO_BIBL {"uncited":[],"omitted":[],"custom":[]} CSL_BIBLIOGRAPHY </w:instrText>
      </w:r>
      <w:r>
        <w:rPr>
          <w:lang w:eastAsia="de-DE"/>
        </w:rPr>
        <w:fldChar w:fldCharType="separate"/>
      </w:r>
      <w:r w:rsidRPr="00873B76">
        <w:rPr>
          <w:rFonts w:ascii="Calibri" w:hAnsi="Calibri"/>
        </w:rPr>
        <w:t>[1]</w:t>
      </w:r>
      <w:r w:rsidRPr="00873B76">
        <w:rPr>
          <w:rFonts w:ascii="Calibri" w:hAnsi="Calibri"/>
        </w:rPr>
        <w:tab/>
        <w:t>International Association of Marine Aids to Navigation and Lighthouse Authorities (IALA), ‘VHF Data Exchange System (VDES) for Shore Infrastructure’, St-Germain-en-Laye, France, Recommendation 1007 Ed. 1.1, Jun. 2017. Accessed: Feb. 23, 2024. [Online]. Available: https://www.iala-aism.org/product/r1007/</w:t>
      </w:r>
    </w:p>
    <w:p w14:paraId="5DB23390" w14:textId="77777777" w:rsidR="00873B76" w:rsidRPr="00873B76" w:rsidRDefault="00873B76" w:rsidP="00873B76">
      <w:pPr>
        <w:pStyle w:val="Bibliography"/>
        <w:rPr>
          <w:rFonts w:ascii="Calibri" w:hAnsi="Calibri"/>
        </w:rPr>
      </w:pPr>
      <w:r w:rsidRPr="00873B76">
        <w:rPr>
          <w:rFonts w:ascii="Calibri" w:hAnsi="Calibri"/>
        </w:rPr>
        <w:t>[2]</w:t>
      </w:r>
      <w:r w:rsidRPr="00873B76">
        <w:rPr>
          <w:rFonts w:ascii="Calibri" w:hAnsi="Calibri"/>
        </w:rPr>
        <w:tab/>
        <w:t>International Association of Marine Aids to Navigation and Lighthouse Authorities (IALA), ‘Resilient Position Navigation and Timing (PNT)’, St-Germain-en-Laye, France, Recommendation R1017 Ed. 1.1, Dec. 2018. Accessed: Feb. 23, 2024. [Online]. Available: https://www.iala-aism.org/product/r1017/</w:t>
      </w:r>
    </w:p>
    <w:p w14:paraId="1870F920" w14:textId="77777777" w:rsidR="00873B76" w:rsidRPr="00873B76" w:rsidRDefault="00873B76" w:rsidP="00873B76">
      <w:pPr>
        <w:pStyle w:val="Bibliography"/>
        <w:rPr>
          <w:rFonts w:ascii="Calibri" w:hAnsi="Calibri"/>
        </w:rPr>
      </w:pPr>
      <w:r w:rsidRPr="00873B76">
        <w:rPr>
          <w:rFonts w:ascii="Calibri" w:hAnsi="Calibri"/>
        </w:rPr>
        <w:t>[3]</w:t>
      </w:r>
      <w:r w:rsidRPr="00873B76">
        <w:rPr>
          <w:rFonts w:ascii="Calibri" w:hAnsi="Calibri"/>
        </w:rPr>
        <w:tab/>
        <w:t>International Association of Marine Aids to Navigation and Lighthouse Authorities (IALA), ‘VHF Data Exchange System (VDES) Overview’, Guideline 1117 Ed. 3, Dec. 2022. Accessed: Aug. 29, 2023. [Online]. Available: https://www.iala-aism.org/product/g1117/</w:t>
      </w:r>
    </w:p>
    <w:p w14:paraId="59E6E3EF" w14:textId="17E56D0B" w:rsidR="00682A16" w:rsidRPr="00682A16" w:rsidRDefault="00873B76" w:rsidP="00BD6E01">
      <w:pPr>
        <w:pStyle w:val="Bibliography"/>
        <w:rPr>
          <w:lang w:eastAsia="de-DE"/>
        </w:rPr>
      </w:pPr>
      <w:r w:rsidRPr="00873B76">
        <w:rPr>
          <w:rFonts w:ascii="Calibri" w:hAnsi="Calibri"/>
        </w:rPr>
        <w:t>[4]</w:t>
      </w:r>
      <w:r w:rsidRPr="00873B76">
        <w:rPr>
          <w:rFonts w:ascii="Calibri" w:hAnsi="Calibri"/>
        </w:rPr>
        <w:tab/>
        <w:t>International Association of Marine Aids to Navigation and Lighthouse Authorities (IALA), ‘VDES R-Mode’, St-Germain-en-Laye, France, Guideline 1158 Ed. 1.1, Dec. 2020. [Online]. Available: https://www.iala-aism.org/product/g1158-vdes-r-mode/</w:t>
      </w:r>
      <w:r>
        <w:rPr>
          <w:lang w:eastAsia="de-DE"/>
        </w:rPr>
        <w:fldChar w:fldCharType="end"/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061C89CF" w14:textId="7813C222" w:rsidR="00BD6E01" w:rsidRDefault="00BD6E01" w:rsidP="00BD6E01">
      <w:pPr>
        <w:pStyle w:val="BodyText"/>
      </w:pPr>
      <w:r>
        <w:t xml:space="preserve">Committee members are </w:t>
      </w:r>
      <w:r w:rsidR="0074531C">
        <w:t>requested</w:t>
      </w:r>
      <w:r>
        <w:t xml:space="preserve"> to review the proposed approach and provide feedback on the struc</w:t>
      </w:r>
      <w:r w:rsidR="0074531C">
        <w:t>ture and content of the</w:t>
      </w:r>
      <w:r>
        <w:t xml:space="preserve"> guideline to the task leader.</w:t>
      </w:r>
    </w:p>
    <w:p w14:paraId="16AE6650" w14:textId="2345B46B" w:rsidR="004D1D85" w:rsidRPr="007A395D" w:rsidRDefault="00AB4851" w:rsidP="00F81367">
      <w:pPr>
        <w:pStyle w:val="BodyText"/>
      </w:pPr>
      <w:r>
        <w:t xml:space="preserve">Individuals </w:t>
      </w:r>
      <w:r w:rsidR="00BD6E01">
        <w:t>interested in contributing to the development of the guideline</w:t>
      </w:r>
      <w:r>
        <w:t xml:space="preserve"> are encouraged to send their </w:t>
      </w:r>
      <w:r w:rsidR="00BD6E01">
        <w:t xml:space="preserve">GitHub </w:t>
      </w:r>
      <w:r w:rsidR="00BD6E01" w:rsidRPr="00B22B6F">
        <w:t>user name</w:t>
      </w:r>
      <w:r w:rsidR="00BD6E01">
        <w:t xml:space="preserve"> to </w:t>
      </w:r>
      <w:hyperlink r:id="rId11" w:history="1">
        <w:r w:rsidR="00BD6E01" w:rsidRPr="00602B25">
          <w:rPr>
            <w:rStyle w:val="Hyperlink"/>
          </w:rPr>
          <w:t>jan.safar@gla-rad.org</w:t>
        </w:r>
      </w:hyperlink>
      <w:r>
        <w:t xml:space="preserve"> to receive access to the </w:t>
      </w:r>
      <w:r w:rsidR="00BD6E01">
        <w:t>GitHub repository</w:t>
      </w:r>
      <w:r>
        <w:t xml:space="preserve"> containing the guideline’s source</w:t>
      </w:r>
      <w:r w:rsidR="00BD6E01">
        <w:t>.</w:t>
      </w:r>
    </w:p>
    <w:sectPr w:rsidR="004D1D85" w:rsidRPr="007A395D" w:rsidSect="0082480E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E6F7D" w14:textId="77777777" w:rsidR="00511277" w:rsidRDefault="00511277" w:rsidP="00362CD9">
      <w:r>
        <w:separator/>
      </w:r>
    </w:p>
  </w:endnote>
  <w:endnote w:type="continuationSeparator" w:id="0">
    <w:p w14:paraId="169B3AC1" w14:textId="77777777" w:rsidR="00511277" w:rsidRDefault="0051127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5ED6F177" w:rsidR="00362CD9" w:rsidRPr="00036B9E" w:rsidRDefault="00CC3375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Draft Guideline on VDES Authentication Techniques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AB4851">
      <w:rPr>
        <w:rFonts w:ascii="Calibri" w:hAnsi="Calibri"/>
        <w:noProof/>
      </w:rPr>
      <w:t>3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3F5F2" w14:textId="77777777" w:rsidR="00511277" w:rsidRDefault="00511277" w:rsidP="00362CD9">
      <w:r>
        <w:separator/>
      </w:r>
    </w:p>
  </w:footnote>
  <w:footnote w:type="continuationSeparator" w:id="0">
    <w:p w14:paraId="3223911B" w14:textId="77777777" w:rsidR="00511277" w:rsidRDefault="00511277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7C346C" w:rsidRDefault="007B3EDD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B3EDD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7B3EDD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11B467E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7D5C16"/>
    <w:multiLevelType w:val="hybridMultilevel"/>
    <w:tmpl w:val="F2E022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341930397">
    <w:abstractNumId w:val="1"/>
  </w:num>
  <w:num w:numId="2" w16cid:durableId="1584532117">
    <w:abstractNumId w:val="0"/>
  </w:num>
  <w:num w:numId="3" w16cid:durableId="1353606174">
    <w:abstractNumId w:val="7"/>
  </w:num>
  <w:num w:numId="4" w16cid:durableId="803742871">
    <w:abstractNumId w:val="21"/>
  </w:num>
  <w:num w:numId="5" w16cid:durableId="1270895953">
    <w:abstractNumId w:val="15"/>
  </w:num>
  <w:num w:numId="6" w16cid:durableId="1578859824">
    <w:abstractNumId w:val="4"/>
  </w:num>
  <w:num w:numId="7" w16cid:durableId="1571501860">
    <w:abstractNumId w:val="23"/>
  </w:num>
  <w:num w:numId="8" w16cid:durableId="611670409">
    <w:abstractNumId w:val="10"/>
  </w:num>
  <w:num w:numId="9" w16cid:durableId="114033347">
    <w:abstractNumId w:val="8"/>
  </w:num>
  <w:num w:numId="10" w16cid:durableId="510727638">
    <w:abstractNumId w:val="17"/>
  </w:num>
  <w:num w:numId="11" w16cid:durableId="5594507">
    <w:abstractNumId w:val="16"/>
  </w:num>
  <w:num w:numId="12" w16cid:durableId="487290866">
    <w:abstractNumId w:val="14"/>
  </w:num>
  <w:num w:numId="13" w16cid:durableId="1726098907">
    <w:abstractNumId w:val="22"/>
  </w:num>
  <w:num w:numId="14" w16cid:durableId="178591531">
    <w:abstractNumId w:val="5"/>
  </w:num>
  <w:num w:numId="15" w16cid:durableId="196817117">
    <w:abstractNumId w:val="25"/>
  </w:num>
  <w:num w:numId="16" w16cid:durableId="593632507">
    <w:abstractNumId w:val="13"/>
  </w:num>
  <w:num w:numId="17" w16cid:durableId="1562981652">
    <w:abstractNumId w:val="6"/>
  </w:num>
  <w:num w:numId="18" w16cid:durableId="1538352037">
    <w:abstractNumId w:val="19"/>
  </w:num>
  <w:num w:numId="19" w16cid:durableId="1134253337">
    <w:abstractNumId w:val="13"/>
  </w:num>
  <w:num w:numId="20" w16cid:durableId="609432744">
    <w:abstractNumId w:val="13"/>
  </w:num>
  <w:num w:numId="21" w16cid:durableId="831918976">
    <w:abstractNumId w:val="13"/>
  </w:num>
  <w:num w:numId="22" w16cid:durableId="63650110">
    <w:abstractNumId w:val="13"/>
  </w:num>
  <w:num w:numId="23" w16cid:durableId="1190340484">
    <w:abstractNumId w:val="20"/>
  </w:num>
  <w:num w:numId="24" w16cid:durableId="1340961117">
    <w:abstractNumId w:val="3"/>
  </w:num>
  <w:num w:numId="25" w16cid:durableId="1278098082">
    <w:abstractNumId w:val="3"/>
  </w:num>
  <w:num w:numId="26" w16cid:durableId="1642491956">
    <w:abstractNumId w:val="3"/>
  </w:num>
  <w:num w:numId="27" w16cid:durableId="442841267">
    <w:abstractNumId w:val="9"/>
  </w:num>
  <w:num w:numId="28" w16cid:durableId="2023314267">
    <w:abstractNumId w:val="9"/>
  </w:num>
  <w:num w:numId="29" w16cid:durableId="819729037">
    <w:abstractNumId w:val="9"/>
  </w:num>
  <w:num w:numId="30" w16cid:durableId="149441654">
    <w:abstractNumId w:val="9"/>
  </w:num>
  <w:num w:numId="31" w16cid:durableId="586959342">
    <w:abstractNumId w:val="9"/>
  </w:num>
  <w:num w:numId="32" w16cid:durableId="2056616442">
    <w:abstractNumId w:val="9"/>
  </w:num>
  <w:num w:numId="33" w16cid:durableId="1011562201">
    <w:abstractNumId w:val="18"/>
  </w:num>
  <w:num w:numId="34" w16cid:durableId="1458375031">
    <w:abstractNumId w:val="18"/>
  </w:num>
  <w:num w:numId="35" w16cid:durableId="434594997">
    <w:abstractNumId w:val="18"/>
  </w:num>
  <w:num w:numId="36" w16cid:durableId="1029378305">
    <w:abstractNumId w:val="11"/>
  </w:num>
  <w:num w:numId="37" w16cid:durableId="567226428">
    <w:abstractNumId w:val="5"/>
  </w:num>
  <w:num w:numId="38" w16cid:durableId="1538274901">
    <w:abstractNumId w:val="14"/>
  </w:num>
  <w:num w:numId="39" w16cid:durableId="15217709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541489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1986402">
    <w:abstractNumId w:val="2"/>
  </w:num>
  <w:num w:numId="42" w16cid:durableId="5043204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81606921">
    <w:abstractNumId w:val="2"/>
  </w:num>
  <w:num w:numId="44" w16cid:durableId="1115095778">
    <w:abstractNumId w:val="12"/>
  </w:num>
  <w:num w:numId="45" w16cid:durableId="517626798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26AAB"/>
    <w:rsid w:val="00036A03"/>
    <w:rsid w:val="00036B9E"/>
    <w:rsid w:val="00037DF4"/>
    <w:rsid w:val="00044C09"/>
    <w:rsid w:val="0004700E"/>
    <w:rsid w:val="00070C13"/>
    <w:rsid w:val="000715C9"/>
    <w:rsid w:val="00084F33"/>
    <w:rsid w:val="000A77A7"/>
    <w:rsid w:val="000B1707"/>
    <w:rsid w:val="000C1B3E"/>
    <w:rsid w:val="000C232A"/>
    <w:rsid w:val="000C349E"/>
    <w:rsid w:val="00110AE7"/>
    <w:rsid w:val="00166B98"/>
    <w:rsid w:val="00177F4D"/>
    <w:rsid w:val="00180DDA"/>
    <w:rsid w:val="00181631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52A5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11277"/>
    <w:rsid w:val="00521345"/>
    <w:rsid w:val="00526DF0"/>
    <w:rsid w:val="00530075"/>
    <w:rsid w:val="00545CC4"/>
    <w:rsid w:val="005506B9"/>
    <w:rsid w:val="00551FFF"/>
    <w:rsid w:val="00556C86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D7456"/>
    <w:rsid w:val="005E262D"/>
    <w:rsid w:val="005F23D3"/>
    <w:rsid w:val="005F7E20"/>
    <w:rsid w:val="00605E43"/>
    <w:rsid w:val="006153BB"/>
    <w:rsid w:val="006652C3"/>
    <w:rsid w:val="00682A16"/>
    <w:rsid w:val="00691FD0"/>
    <w:rsid w:val="00692148"/>
    <w:rsid w:val="006A1A1E"/>
    <w:rsid w:val="006C5948"/>
    <w:rsid w:val="006D3734"/>
    <w:rsid w:val="006F2A74"/>
    <w:rsid w:val="007000D4"/>
    <w:rsid w:val="007118F5"/>
    <w:rsid w:val="00712AA4"/>
    <w:rsid w:val="00713A90"/>
    <w:rsid w:val="007146C4"/>
    <w:rsid w:val="00721AA1"/>
    <w:rsid w:val="00724B67"/>
    <w:rsid w:val="0074531C"/>
    <w:rsid w:val="007547F8"/>
    <w:rsid w:val="00765622"/>
    <w:rsid w:val="00770B6C"/>
    <w:rsid w:val="00783FEA"/>
    <w:rsid w:val="007A395D"/>
    <w:rsid w:val="007B3EDD"/>
    <w:rsid w:val="007B6BD5"/>
    <w:rsid w:val="007C346C"/>
    <w:rsid w:val="007E2A40"/>
    <w:rsid w:val="007E6479"/>
    <w:rsid w:val="0080294B"/>
    <w:rsid w:val="0082480E"/>
    <w:rsid w:val="00845C77"/>
    <w:rsid w:val="00850293"/>
    <w:rsid w:val="00851373"/>
    <w:rsid w:val="00851BA6"/>
    <w:rsid w:val="0085654D"/>
    <w:rsid w:val="00861160"/>
    <w:rsid w:val="0086654F"/>
    <w:rsid w:val="008700CE"/>
    <w:rsid w:val="00873B76"/>
    <w:rsid w:val="008827B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1760D"/>
    <w:rsid w:val="0092692B"/>
    <w:rsid w:val="00930561"/>
    <w:rsid w:val="00943E9C"/>
    <w:rsid w:val="00953F4D"/>
    <w:rsid w:val="00960BB8"/>
    <w:rsid w:val="00964F5C"/>
    <w:rsid w:val="00973B57"/>
    <w:rsid w:val="00975353"/>
    <w:rsid w:val="00975900"/>
    <w:rsid w:val="009831C0"/>
    <w:rsid w:val="0099161D"/>
    <w:rsid w:val="009F6CAD"/>
    <w:rsid w:val="00A0389B"/>
    <w:rsid w:val="00A24C8A"/>
    <w:rsid w:val="00A33A3C"/>
    <w:rsid w:val="00A446C9"/>
    <w:rsid w:val="00A635D6"/>
    <w:rsid w:val="00A8553A"/>
    <w:rsid w:val="00A93AED"/>
    <w:rsid w:val="00AA4B15"/>
    <w:rsid w:val="00AB4851"/>
    <w:rsid w:val="00AC0F1C"/>
    <w:rsid w:val="00AE1319"/>
    <w:rsid w:val="00AE34BB"/>
    <w:rsid w:val="00AF05D1"/>
    <w:rsid w:val="00B226F2"/>
    <w:rsid w:val="00B22B6F"/>
    <w:rsid w:val="00B274DF"/>
    <w:rsid w:val="00B361E6"/>
    <w:rsid w:val="00B55D43"/>
    <w:rsid w:val="00B56BDF"/>
    <w:rsid w:val="00B61923"/>
    <w:rsid w:val="00B65812"/>
    <w:rsid w:val="00B766DC"/>
    <w:rsid w:val="00B85CD6"/>
    <w:rsid w:val="00B90A27"/>
    <w:rsid w:val="00B9554D"/>
    <w:rsid w:val="00BB0548"/>
    <w:rsid w:val="00BB2B9F"/>
    <w:rsid w:val="00BB7D9E"/>
    <w:rsid w:val="00BC2334"/>
    <w:rsid w:val="00BD3CB8"/>
    <w:rsid w:val="00BD4E6F"/>
    <w:rsid w:val="00BD6E01"/>
    <w:rsid w:val="00BF32F0"/>
    <w:rsid w:val="00BF4DCE"/>
    <w:rsid w:val="00C05CE5"/>
    <w:rsid w:val="00C6171E"/>
    <w:rsid w:val="00CA6F2C"/>
    <w:rsid w:val="00CC3375"/>
    <w:rsid w:val="00CD6A13"/>
    <w:rsid w:val="00CF1871"/>
    <w:rsid w:val="00D01874"/>
    <w:rsid w:val="00D019CE"/>
    <w:rsid w:val="00D1133E"/>
    <w:rsid w:val="00D17A34"/>
    <w:rsid w:val="00D26628"/>
    <w:rsid w:val="00D332B3"/>
    <w:rsid w:val="00D34236"/>
    <w:rsid w:val="00D55207"/>
    <w:rsid w:val="00D81801"/>
    <w:rsid w:val="00D92B45"/>
    <w:rsid w:val="00D95962"/>
    <w:rsid w:val="00DA591E"/>
    <w:rsid w:val="00DC389B"/>
    <w:rsid w:val="00DD0ADC"/>
    <w:rsid w:val="00DE2FEE"/>
    <w:rsid w:val="00DF1467"/>
    <w:rsid w:val="00DF25EC"/>
    <w:rsid w:val="00DF5F49"/>
    <w:rsid w:val="00DF5FEE"/>
    <w:rsid w:val="00E00BE9"/>
    <w:rsid w:val="00E22A11"/>
    <w:rsid w:val="00E31E5C"/>
    <w:rsid w:val="00E44DD2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5EE"/>
    <w:rsid w:val="00EE3CC5"/>
    <w:rsid w:val="00EE42FF"/>
    <w:rsid w:val="00EE4C1D"/>
    <w:rsid w:val="00EF3685"/>
    <w:rsid w:val="00F04350"/>
    <w:rsid w:val="00F12B0D"/>
    <w:rsid w:val="00F133DB"/>
    <w:rsid w:val="00F159EB"/>
    <w:rsid w:val="00F25BF4"/>
    <w:rsid w:val="00F267DB"/>
    <w:rsid w:val="00F46F6F"/>
    <w:rsid w:val="00F56C67"/>
    <w:rsid w:val="00F60608"/>
    <w:rsid w:val="00F62217"/>
    <w:rsid w:val="00F81367"/>
    <w:rsid w:val="00F96566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69B98DB5-4DDE-4B61-8F09-50B5ED4D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2C52A5"/>
    <w:pPr>
      <w:keepNext/>
      <w:numPr>
        <w:ilvl w:val="2"/>
        <w:numId w:val="37"/>
      </w:numPr>
      <w:spacing w:before="120" w:after="120"/>
      <w:outlineLvl w:val="2"/>
    </w:pPr>
    <w:rPr>
      <w:rFonts w:ascii="Calibri" w:hAnsi="Calibr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73B76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873B76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B361E6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hAnsi="Calibr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2C52A5"/>
    <w:rPr>
      <w:rFonts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5506B9"/>
    <w:pPr>
      <w:keepNext/>
      <w:numPr>
        <w:numId w:val="22"/>
      </w:numPr>
      <w:spacing w:after="120"/>
      <w:jc w:val="both"/>
    </w:pPr>
    <w:rPr>
      <w:rFonts w:ascii="Calibri" w:eastAsia="MS Mincho" w:hAnsi="Calibr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Bibliography">
    <w:name w:val="Bibliography"/>
    <w:basedOn w:val="Normal"/>
    <w:next w:val="Normal"/>
    <w:uiPriority w:val="37"/>
    <w:unhideWhenUsed/>
    <w:rsid w:val="00873B76"/>
    <w:pPr>
      <w:tabs>
        <w:tab w:val="left" w:pos="384"/>
      </w:tabs>
      <w:ind w:left="384" w:hanging="384"/>
    </w:pPr>
  </w:style>
  <w:style w:type="character" w:styleId="FollowedHyperlink">
    <w:name w:val="FollowedHyperlink"/>
    <w:basedOn w:val="DefaultParagraphFont"/>
    <w:uiPriority w:val="99"/>
    <w:semiHidden/>
    <w:unhideWhenUsed/>
    <w:rsid w:val="00BD6E01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rsid w:val="005D74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6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n.safar@gla-rad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DF21C525-A79D-40CC-B8F8-3C42B809E4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A24B1D-BFCF-4B10-A56D-74BB0E019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FEF68F-3BBF-4102-95A9-D897E0DC8512}">
  <ds:schemaRefs>
    <ds:schemaRef ds:uri="06022411-6e02-423b-85fd-39e0748b921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c5f8115-f13f-4d01-aff4-515a67108c3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3</Pages>
  <Words>1330</Words>
  <Characters>7585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dc:description/>
  <cp:lastModifiedBy>Jaime Alvarez</cp:lastModifiedBy>
  <cp:revision>30</cp:revision>
  <dcterms:created xsi:type="dcterms:W3CDTF">2024-02-23T18:42:00Z</dcterms:created>
  <dcterms:modified xsi:type="dcterms:W3CDTF">2024-02-27T13:33:00Z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  <property fmtid="{D5CDD505-2E9C-101B-9397-08002B2CF9AE}" pid="5" name="ZOTERO_PREF_1">
    <vt:lpwstr>&lt;data data-version="3" zotero-version="6.0.30"&gt;&lt;session id="IiE39fGd"/&gt;&lt;style id="http://www.zotero.org/styles/ieee" locale="en-GB" hasBibliography="1" bibliographyStyleHasBeenSet="1"/&gt;&lt;prefs&gt;&lt;pref name="fieldType" value="Field"/&gt;&lt;pref name="automaticJour</vt:lpwstr>
  </property>
  <property fmtid="{D5CDD505-2E9C-101B-9397-08002B2CF9AE}" pid="6" name="ZOTERO_PREF_2">
    <vt:lpwstr>nalAbbreviations" value="true"/&gt;&lt;/prefs&gt;&lt;/data&gt;</vt:lpwstr>
  </property>
</Properties>
</file>