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1186DE3F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0051D3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0051D3">
        <w:rPr>
          <w:rFonts w:ascii="Calibri" w:hAnsi="Calibri"/>
        </w:rPr>
        <w:t xml:space="preserve">  </w:t>
      </w:r>
      <w:r w:rsidR="007000D4" w:rsidRPr="000051D3">
        <w:rPr>
          <w:rFonts w:ascii="Calibri" w:hAnsi="Calibri"/>
        </w:rPr>
        <w:t>ENAV2</w:t>
      </w:r>
      <w:r w:rsidR="0091148D" w:rsidRPr="000051D3">
        <w:rPr>
          <w:rFonts w:ascii="Calibri" w:hAnsi="Calibri"/>
        </w:rPr>
        <w:t>5</w:t>
      </w:r>
      <w:r w:rsidRPr="000051D3">
        <w:rPr>
          <w:rFonts w:ascii="Calibri" w:hAnsi="Calibri"/>
        </w:rPr>
        <w:t>-</w:t>
      </w:r>
      <w:r w:rsidR="000051D3" w:rsidRPr="000051D3">
        <w:rPr>
          <w:rFonts w:ascii="Calibri" w:hAnsi="Calibri"/>
        </w:rPr>
        <w:t>10.4.1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029A8CAB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3C299C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3AF53BC0" w:rsidR="0080294B" w:rsidRPr="007A395D" w:rsidRDefault="003C299C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X</w:t>
      </w:r>
      <w:r w:rsidR="0080294B" w:rsidRPr="00C4357B">
        <w:rPr>
          <w:rFonts w:ascii="Calibri" w:hAnsi="Calibri" w:cs="Arial"/>
          <w:b/>
          <w:sz w:val="24"/>
          <w:szCs w:val="24"/>
        </w:rPr>
        <w:t xml:space="preserve">  </w:t>
      </w:r>
      <w:r w:rsidR="0080294B" w:rsidRPr="003C299C">
        <w:rPr>
          <w:rFonts w:ascii="Calibri" w:hAnsi="Calibri" w:cs="Arial"/>
        </w:rPr>
        <w:t>ENAV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3D87FC6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bookmarkStart w:id="0" w:name="_GoBack"/>
      <w:bookmarkEnd w:id="0"/>
      <w:r w:rsidR="0091148D" w:rsidRPr="000051D3">
        <w:rPr>
          <w:rFonts w:ascii="Calibri" w:hAnsi="Calibri"/>
        </w:rPr>
        <w:t>10</w:t>
      </w:r>
    </w:p>
    <w:p w14:paraId="598CF456" w14:textId="77777777" w:rsidR="003C299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C4357B">
        <w:rPr>
          <w:rFonts w:ascii="Calibri" w:hAnsi="Calibri"/>
        </w:rPr>
        <w:t>WG2 – review of Candidate Technologies</w:t>
      </w:r>
    </w:p>
    <w:p w14:paraId="01FC5420" w14:textId="056A495C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4357B">
        <w:rPr>
          <w:rFonts w:ascii="Calibri" w:hAnsi="Calibri"/>
        </w:rPr>
        <w:t>J Carson-Jackson, Chair, IALA ENAV WG2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61D72ECA" w:rsidR="00A446C9" w:rsidRPr="00605E43" w:rsidRDefault="00C84517" w:rsidP="00A446C9">
      <w:pPr>
        <w:pStyle w:val="Title"/>
        <w:rPr>
          <w:rFonts w:ascii="Calibri" w:hAnsi="Calibri"/>
          <w:color w:val="0070C0"/>
        </w:rPr>
      </w:pPr>
      <w:bookmarkStart w:id="1" w:name="_Hlk20130894"/>
      <w:r>
        <w:rPr>
          <w:rFonts w:ascii="Calibri" w:hAnsi="Calibri"/>
          <w:color w:val="0070C0"/>
        </w:rPr>
        <w:t>Candidate Technologies for use by IALA members</w:t>
      </w:r>
      <w:r w:rsidR="0091148D">
        <w:rPr>
          <w:rFonts w:ascii="Calibri" w:hAnsi="Calibri"/>
          <w:color w:val="0070C0"/>
        </w:rPr>
        <w:t xml:space="preserve"> – Review at ENAV25</w:t>
      </w:r>
    </w:p>
    <w:bookmarkEnd w:id="1"/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5B46978" w14:textId="449FA69F" w:rsidR="0014536C" w:rsidRPr="007A395D" w:rsidRDefault="0014536C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paper highlights a number of candidate technologies that may be suitable for use by IALA </w:t>
      </w:r>
      <w:proofErr w:type="gramStart"/>
      <w:r>
        <w:rPr>
          <w:rFonts w:ascii="Calibri" w:hAnsi="Calibri"/>
        </w:rPr>
        <w:t>members, and</w:t>
      </w:r>
      <w:proofErr w:type="gramEnd"/>
      <w:r>
        <w:rPr>
          <w:rFonts w:ascii="Calibri" w:hAnsi="Calibri"/>
        </w:rPr>
        <w:t xml:space="preserve"> could be reviewed by the IALA ENAV Committee.  </w:t>
      </w:r>
      <w:r w:rsidR="0091148D">
        <w:rPr>
          <w:rFonts w:ascii="Calibri" w:hAnsi="Calibri"/>
        </w:rPr>
        <w:t>This paper presents the technologies that have been identified for discussion and possible review at ENAV25.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2D7AE181" w:rsidR="00E55927" w:rsidRPr="007A395D" w:rsidRDefault="0014536C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paper is provided to assist WG 2 in their activities.  It invites members of the ENAV Committee to provide input on the candidate technologies identified and also identify other candidate technologies. 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2F0E579F" w14:textId="713EF58B" w:rsidR="004C523B" w:rsidRDefault="004C523B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ENAV2</w:t>
      </w:r>
      <w:r w:rsidR="00FC7AD7">
        <w:rPr>
          <w:rFonts w:ascii="Calibri" w:hAnsi="Calibri"/>
        </w:rPr>
        <w:t>5</w:t>
      </w:r>
      <w:r>
        <w:rPr>
          <w:rFonts w:ascii="Calibri" w:hAnsi="Calibri"/>
        </w:rPr>
        <w:t>-2.1.1 – Action items from ENAV 2</w:t>
      </w:r>
      <w:r w:rsidR="0091148D">
        <w:rPr>
          <w:rFonts w:ascii="Calibri" w:hAnsi="Calibri"/>
        </w:rPr>
        <w:t>4</w:t>
      </w:r>
    </w:p>
    <w:p w14:paraId="48E22295" w14:textId="6EBD3B5C" w:rsidR="004C523B" w:rsidRDefault="004C523B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ENAV2</w:t>
      </w:r>
      <w:r w:rsidR="0091148D">
        <w:rPr>
          <w:rFonts w:ascii="Calibri" w:hAnsi="Calibri"/>
        </w:rPr>
        <w:t>5</w:t>
      </w:r>
      <w:r>
        <w:rPr>
          <w:rFonts w:ascii="Calibri" w:hAnsi="Calibri"/>
        </w:rPr>
        <w:t>-2.1.2 – Report of ENAV2</w:t>
      </w:r>
      <w:r w:rsidR="0091148D">
        <w:rPr>
          <w:rFonts w:ascii="Calibri" w:hAnsi="Calibri"/>
        </w:rPr>
        <w:t>4</w:t>
      </w:r>
    </w:p>
    <w:p w14:paraId="232595B9" w14:textId="77777777" w:rsidR="0091148D" w:rsidRDefault="0014536C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ENAV2</w:t>
      </w:r>
      <w:r w:rsidR="0091148D">
        <w:rPr>
          <w:rFonts w:ascii="Calibri" w:hAnsi="Calibri"/>
        </w:rPr>
        <w:t>5</w:t>
      </w:r>
      <w:r>
        <w:rPr>
          <w:rFonts w:ascii="Calibri" w:hAnsi="Calibri"/>
        </w:rPr>
        <w:t>-10.0 – Terms of Reference for WG2</w:t>
      </w:r>
    </w:p>
    <w:p w14:paraId="3269E66C" w14:textId="1542D8B3" w:rsidR="0014536C" w:rsidRDefault="0091148D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IALA G1153 – Template for the review of emerging technologies for possible use by IALA members</w:t>
      </w:r>
      <w:r w:rsidR="0014536C">
        <w:rPr>
          <w:rFonts w:ascii="Calibri" w:hAnsi="Calibri"/>
        </w:rPr>
        <w:t xml:space="preserve"> </w:t>
      </w:r>
    </w:p>
    <w:p w14:paraId="553E55ED" w14:textId="2EEBE9A6" w:rsidR="00E55927" w:rsidRPr="007A395D" w:rsidRDefault="0014536C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IALA Maritime Radio Communications Plan, December 2017 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4AC67D31" w14:textId="5647EC4D" w:rsidR="0014536C" w:rsidRDefault="0014536C" w:rsidP="0014536C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terms of reference for WG2 highlight the expectation of the WG to:</w:t>
      </w:r>
    </w:p>
    <w:p w14:paraId="3BBD8B5B" w14:textId="77777777" w:rsidR="0014536C" w:rsidRPr="00DE1A43" w:rsidRDefault="0014536C" w:rsidP="0014536C">
      <w:pPr>
        <w:pStyle w:val="ListParagraph"/>
        <w:widowControl w:val="0"/>
        <w:numPr>
          <w:ilvl w:val="0"/>
          <w:numId w:val="45"/>
        </w:numPr>
        <w:contextualSpacing w:val="0"/>
        <w:jc w:val="both"/>
        <w:rPr>
          <w:rFonts w:ascii="Calibri" w:hAnsi="Calibri"/>
        </w:rPr>
      </w:pPr>
      <w:r w:rsidRPr="00DE1A43">
        <w:rPr>
          <w:rFonts w:ascii="Calibri" w:hAnsi="Calibri"/>
        </w:rPr>
        <w:t>monitor the technological environment and identify possible technologies and systems to be evaluated;</w:t>
      </w:r>
    </w:p>
    <w:p w14:paraId="7197F1A1" w14:textId="77777777" w:rsidR="0014536C" w:rsidRDefault="0014536C" w:rsidP="0014536C">
      <w:pPr>
        <w:pStyle w:val="ListParagraph"/>
        <w:widowControl w:val="0"/>
        <w:numPr>
          <w:ilvl w:val="0"/>
          <w:numId w:val="45"/>
        </w:numPr>
        <w:contextualSpacing w:val="0"/>
        <w:jc w:val="both"/>
        <w:rPr>
          <w:rFonts w:ascii="Calibri" w:hAnsi="Calibri"/>
        </w:rPr>
      </w:pPr>
      <w:r w:rsidRPr="00DE1A43">
        <w:rPr>
          <w:rFonts w:ascii="Calibri" w:hAnsi="Calibri"/>
        </w:rPr>
        <w:t>invite representatives of candidate technologies to provide information to the working group;</w:t>
      </w:r>
    </w:p>
    <w:p w14:paraId="15F1E42C" w14:textId="77777777" w:rsidR="004C523B" w:rsidRPr="00DE1A43" w:rsidRDefault="004C523B" w:rsidP="004C523B">
      <w:pPr>
        <w:pStyle w:val="ListParagraph"/>
        <w:widowControl w:val="0"/>
        <w:numPr>
          <w:ilvl w:val="0"/>
          <w:numId w:val="45"/>
        </w:numPr>
        <w:contextualSpacing w:val="0"/>
        <w:jc w:val="both"/>
        <w:rPr>
          <w:rFonts w:ascii="Calibri" w:hAnsi="Calibri"/>
        </w:rPr>
      </w:pPr>
      <w:r w:rsidRPr="00DE1A43">
        <w:rPr>
          <w:rFonts w:ascii="Calibri" w:hAnsi="Calibri"/>
        </w:rPr>
        <w:t>evaluate selected emerging digital technologies at a high level, and identify their advantages, limitations and applicability in consideration of user requirements and needs of IALA membership.</w:t>
      </w:r>
    </w:p>
    <w:p w14:paraId="7BCB19FD" w14:textId="77777777" w:rsidR="004C523B" w:rsidRPr="00E57DC0" w:rsidRDefault="004C523B" w:rsidP="004C523B">
      <w:pPr>
        <w:pStyle w:val="ListParagraph"/>
        <w:widowControl w:val="0"/>
        <w:numPr>
          <w:ilvl w:val="0"/>
          <w:numId w:val="45"/>
        </w:numPr>
        <w:contextualSpacing w:val="0"/>
        <w:jc w:val="both"/>
        <w:rPr>
          <w:rFonts w:ascii="Calibri" w:hAnsi="Calibri"/>
        </w:rPr>
      </w:pPr>
      <w:r w:rsidRPr="00DE1A43">
        <w:rPr>
          <w:rFonts w:ascii="Calibri" w:hAnsi="Calibri"/>
        </w:rPr>
        <w:t>provide internal advice on emerging digital technologies and</w:t>
      </w:r>
      <w:r w:rsidRPr="00DE1A43">
        <w:rPr>
          <w:rFonts w:ascii="Calibri" w:eastAsia="Times New Roman" w:hAnsi="Calibri"/>
        </w:rPr>
        <w:t xml:space="preserve"> </w:t>
      </w:r>
      <w:r w:rsidRPr="00DE1A43">
        <w:rPr>
          <w:rFonts w:ascii="Calibri" w:hAnsi="Calibri"/>
        </w:rPr>
        <w:t xml:space="preserve">inform other </w:t>
      </w:r>
      <w:r w:rsidRPr="00E57DC0">
        <w:rPr>
          <w:rFonts w:ascii="Calibri" w:hAnsi="Calibri"/>
        </w:rPr>
        <w:t>working groups and IALA Committees on matters of relevance to their work;</w:t>
      </w:r>
    </w:p>
    <w:p w14:paraId="18D74800" w14:textId="0629300B" w:rsidR="004C523B" w:rsidRPr="00DE1A43" w:rsidRDefault="00944507" w:rsidP="0014536C">
      <w:pPr>
        <w:pStyle w:val="ListParagraph"/>
        <w:widowControl w:val="0"/>
        <w:numPr>
          <w:ilvl w:val="0"/>
          <w:numId w:val="45"/>
        </w:numPr>
        <w:contextualSpacing w:val="0"/>
        <w:jc w:val="both"/>
        <w:rPr>
          <w:rFonts w:ascii="Calibri" w:hAnsi="Calibri"/>
        </w:rPr>
      </w:pPr>
      <w:r>
        <w:rPr>
          <w:rFonts w:ascii="Calibri" w:hAnsi="Calibri"/>
        </w:rPr>
        <w:t>[…]</w:t>
      </w:r>
    </w:p>
    <w:p w14:paraId="0D861343" w14:textId="7CF9D439" w:rsidR="0091148D" w:rsidRDefault="004C523B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lastRenderedPageBreak/>
        <w:t>To assist with the discussion, an initial review process for digital technologies was prepared and revised.  As part of the monitoring process, the reports of ENAV22</w:t>
      </w:r>
      <w:r w:rsidR="0091148D">
        <w:rPr>
          <w:rFonts w:ascii="Calibri" w:hAnsi="Calibri"/>
        </w:rPr>
        <w:t>, ENAV23</w:t>
      </w:r>
      <w:r>
        <w:rPr>
          <w:rFonts w:ascii="Calibri" w:hAnsi="Calibri"/>
        </w:rPr>
        <w:t xml:space="preserve"> and ENAV2</w:t>
      </w:r>
      <w:r w:rsidR="0091148D">
        <w:rPr>
          <w:rFonts w:ascii="Calibri" w:hAnsi="Calibri"/>
        </w:rPr>
        <w:t>4</w:t>
      </w:r>
      <w:r>
        <w:rPr>
          <w:rFonts w:ascii="Calibri" w:hAnsi="Calibri"/>
        </w:rPr>
        <w:t xml:space="preserve"> requested </w:t>
      </w:r>
      <w:r w:rsidR="0091148D">
        <w:rPr>
          <w:rFonts w:ascii="Calibri" w:hAnsi="Calibri"/>
        </w:rPr>
        <w:t xml:space="preserve">members of the IALA ENAV Committee </w:t>
      </w:r>
      <w:r>
        <w:rPr>
          <w:rFonts w:ascii="Calibri" w:hAnsi="Calibri"/>
        </w:rPr>
        <w:t xml:space="preserve">to review and use the template to </w:t>
      </w:r>
      <w:r w:rsidR="0091148D" w:rsidRPr="0091148D">
        <w:rPr>
          <w:rFonts w:ascii="Calibri" w:hAnsi="Calibri"/>
        </w:rPr>
        <w:t>provide input on the identified, and other, emerging technologies that may be suitable for use by IALA members and provide input and expertise to ENAV25.</w:t>
      </w:r>
    </w:p>
    <w:p w14:paraId="289EE060" w14:textId="7676181A" w:rsidR="0091148D" w:rsidRDefault="0091148D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At ENAV 25 the template for the review of emerging technologies was approved and forwarded to IALA Council.  IALA Council approved the document as Guideline 1153.</w:t>
      </w:r>
    </w:p>
    <w:p w14:paraId="4A5B594E" w14:textId="65662EDC" w:rsidR="003E233A" w:rsidRDefault="003E233A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current Maritime Radio Communication Plan (MRCP) includes a section that looks at different technology capabilities which may be suitable for different geographical areas – ENAV area definitions and GMDSS Sea Areas.  These are presented in tables 1, 2 and 3 of that </w:t>
      </w:r>
      <w:proofErr w:type="gramStart"/>
      <w:r>
        <w:rPr>
          <w:rFonts w:ascii="Calibri" w:hAnsi="Calibri"/>
        </w:rPr>
        <w:t>document</w:t>
      </w:r>
      <w:proofErr w:type="gramEnd"/>
      <w:r>
        <w:rPr>
          <w:rFonts w:ascii="Calibri" w:hAnsi="Calibri"/>
        </w:rPr>
        <w:t xml:space="preserve">, and may assist discussions on candidate technologies.   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6D418988" w14:textId="21EF833D" w:rsidR="00944507" w:rsidRDefault="00FC7AD7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At ENAV 24 IALA ENAV WG2 completed their initial review of 4G (including LTE) and </w:t>
      </w:r>
      <w:proofErr w:type="spellStart"/>
      <w:r>
        <w:rPr>
          <w:rFonts w:ascii="Calibri" w:hAnsi="Calibri"/>
        </w:rPr>
        <w:t>dPMR</w:t>
      </w:r>
      <w:proofErr w:type="spellEnd"/>
      <w:r>
        <w:rPr>
          <w:rFonts w:ascii="Calibri" w:hAnsi="Calibri"/>
        </w:rPr>
        <w:t xml:space="preserve"> based on the Candidate Technology Review template</w:t>
      </w:r>
      <w:r w:rsidR="00944507">
        <w:rPr>
          <w:rFonts w:ascii="Calibri" w:hAnsi="Calibri"/>
        </w:rPr>
        <w:t xml:space="preserve">.  </w:t>
      </w:r>
    </w:p>
    <w:p w14:paraId="23B5467E" w14:textId="46B83828" w:rsidR="00F25BF4" w:rsidRDefault="00FC7AD7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At ENAV24, and between</w:t>
      </w:r>
      <w:r w:rsidR="004C523B">
        <w:rPr>
          <w:rFonts w:ascii="Calibri" w:hAnsi="Calibri"/>
        </w:rPr>
        <w:t xml:space="preserve"> ENAV2</w:t>
      </w:r>
      <w:r>
        <w:rPr>
          <w:rFonts w:ascii="Calibri" w:hAnsi="Calibri"/>
        </w:rPr>
        <w:t>4</w:t>
      </w:r>
      <w:r w:rsidR="004C523B">
        <w:rPr>
          <w:rFonts w:ascii="Calibri" w:hAnsi="Calibri"/>
        </w:rPr>
        <w:t xml:space="preserve"> and ENAV 2</w:t>
      </w:r>
      <w:r>
        <w:rPr>
          <w:rFonts w:ascii="Calibri" w:hAnsi="Calibri"/>
        </w:rPr>
        <w:t>5</w:t>
      </w:r>
      <w:r w:rsidR="004C523B">
        <w:rPr>
          <w:rFonts w:ascii="Calibri" w:hAnsi="Calibri"/>
        </w:rPr>
        <w:t xml:space="preserve"> some technologies have been identified</w:t>
      </w:r>
      <w:r w:rsidR="00944507">
        <w:rPr>
          <w:rFonts w:ascii="Calibri" w:hAnsi="Calibri"/>
        </w:rPr>
        <w:t xml:space="preserve"> as possible candidate technologies for review.  These include: </w:t>
      </w:r>
    </w:p>
    <w:p w14:paraId="0DDB889A" w14:textId="557FB831" w:rsidR="00944507" w:rsidRPr="003B394E" w:rsidRDefault="00944507" w:rsidP="004C6162">
      <w:pPr>
        <w:pStyle w:val="BodyText"/>
        <w:numPr>
          <w:ilvl w:val="0"/>
          <w:numId w:val="46"/>
        </w:numPr>
        <w:rPr>
          <w:rFonts w:ascii="Calibri" w:hAnsi="Calibri"/>
        </w:rPr>
      </w:pPr>
      <w:proofErr w:type="spellStart"/>
      <w:r>
        <w:rPr>
          <w:rFonts w:ascii="Calibri" w:hAnsi="Calibri"/>
        </w:rPr>
        <w:t>LoRA</w:t>
      </w:r>
      <w:proofErr w:type="spellEnd"/>
      <w:r>
        <w:rPr>
          <w:rFonts w:ascii="Calibri" w:hAnsi="Calibri"/>
        </w:rPr>
        <w:t xml:space="preserve"> </w:t>
      </w:r>
      <w:r w:rsidR="00321488">
        <w:rPr>
          <w:rFonts w:ascii="Calibri" w:hAnsi="Calibri"/>
        </w:rPr>
        <w:t xml:space="preserve">/ </w:t>
      </w:r>
      <w:proofErr w:type="spellStart"/>
      <w:r w:rsidR="00321488">
        <w:rPr>
          <w:rFonts w:ascii="Calibri" w:hAnsi="Calibri"/>
        </w:rPr>
        <w:t>LoRaWAN</w:t>
      </w:r>
      <w:proofErr w:type="spellEnd"/>
      <w:r w:rsidR="00321488">
        <w:rPr>
          <w:rFonts w:ascii="Calibri" w:hAnsi="Calibri"/>
        </w:rPr>
        <w:t xml:space="preserve"> – a low power-wide area network (LP-WAN) system that enables long transmission with limited power consumption.  </w:t>
      </w:r>
      <w:r w:rsidR="004C6162">
        <w:rPr>
          <w:rFonts w:ascii="Calibri" w:hAnsi="Calibri"/>
        </w:rPr>
        <w:t>(</w:t>
      </w:r>
      <w:hyperlink r:id="rId8" w:history="1">
        <w:r w:rsidR="004C6162" w:rsidRPr="004C6162">
          <w:rPr>
            <w:rFonts w:ascii="Calibri" w:hAnsi="Calibri"/>
          </w:rPr>
          <w:t>https://www.mdpi.com/2079-9292/8/1/15/htm</w:t>
        </w:r>
      </w:hyperlink>
      <w:r w:rsidR="004C6162" w:rsidRPr="004C6162">
        <w:rPr>
          <w:rFonts w:ascii="Calibri" w:hAnsi="Calibri"/>
        </w:rPr>
        <w:t xml:space="preserve"> - tracking and monitoring system based on </w:t>
      </w:r>
      <w:proofErr w:type="spellStart"/>
      <w:r w:rsidR="004C6162" w:rsidRPr="004C6162">
        <w:rPr>
          <w:rFonts w:ascii="Calibri" w:hAnsi="Calibri"/>
        </w:rPr>
        <w:t>LoRa</w:t>
      </w:r>
      <w:proofErr w:type="spellEnd"/>
      <w:r w:rsidR="004C6162" w:rsidRPr="004C6162">
        <w:rPr>
          <w:rFonts w:ascii="Calibri" w:hAnsi="Calibri"/>
        </w:rPr>
        <w:t xml:space="preserve"> Technology for lightweight boats</w:t>
      </w:r>
      <w:r w:rsidR="004C6162">
        <w:rPr>
          <w:rFonts w:ascii="Calibri" w:hAnsi="Calibri"/>
        </w:rPr>
        <w:t xml:space="preserve">; </w:t>
      </w:r>
      <w:hyperlink r:id="rId9" w:history="1">
        <w:r w:rsidR="004C6162" w:rsidRPr="004C6162">
          <w:rPr>
            <w:rFonts w:ascii="Calibri" w:hAnsi="Calibri"/>
          </w:rPr>
          <w:t>https://www.ncbi.nlm.nih.gov/pmc/articles/PMC6163321/</w:t>
        </w:r>
      </w:hyperlink>
      <w:r w:rsidR="004C6162" w:rsidRPr="004C6162">
        <w:rPr>
          <w:rFonts w:ascii="Calibri" w:hAnsi="Calibri"/>
        </w:rPr>
        <w:t xml:space="preserve"> Experimental study of </w:t>
      </w:r>
      <w:proofErr w:type="spellStart"/>
      <w:r w:rsidR="004C6162" w:rsidRPr="004C6162">
        <w:rPr>
          <w:rFonts w:ascii="Calibri" w:hAnsi="Calibri"/>
        </w:rPr>
        <w:t>LoRa</w:t>
      </w:r>
      <w:proofErr w:type="spellEnd"/>
      <w:r w:rsidR="004C6162" w:rsidRPr="004C6162">
        <w:rPr>
          <w:rFonts w:ascii="Calibri" w:hAnsi="Calibri"/>
        </w:rPr>
        <w:t xml:space="preserve"> transmission over seawater</w:t>
      </w:r>
      <w:r w:rsidR="00FC7AD7">
        <w:rPr>
          <w:rFonts w:ascii="Calibri" w:hAnsi="Calibri"/>
        </w:rPr>
        <w:t xml:space="preserve">).  This technology will be reviewed at ENAV 25 (ENAV25-2.1.1, action item 26 refers). </w:t>
      </w:r>
      <w:r w:rsidR="00BC179A">
        <w:rPr>
          <w:rFonts w:ascii="Calibri" w:hAnsi="Calibri"/>
        </w:rPr>
        <w:t xml:space="preserve"> This discussion may include a review of </w:t>
      </w:r>
      <w:proofErr w:type="spellStart"/>
      <w:r w:rsidR="00BC179A">
        <w:rPr>
          <w:rFonts w:ascii="Calibri" w:hAnsi="Calibri"/>
        </w:rPr>
        <w:t>Sigfox</w:t>
      </w:r>
      <w:proofErr w:type="spellEnd"/>
      <w:r w:rsidR="00BC179A">
        <w:rPr>
          <w:rFonts w:ascii="Calibri" w:hAnsi="Calibri"/>
        </w:rPr>
        <w:t xml:space="preserve"> if expertise is available.  </w:t>
      </w:r>
    </w:p>
    <w:p w14:paraId="2CF7353F" w14:textId="6883DE57" w:rsidR="003E233A" w:rsidRDefault="00FC7AD7" w:rsidP="00A446C9">
      <w:pPr>
        <w:pStyle w:val="BodyText"/>
        <w:numPr>
          <w:ilvl w:val="0"/>
          <w:numId w:val="46"/>
        </w:numPr>
        <w:rPr>
          <w:rFonts w:ascii="Calibri" w:hAnsi="Calibri"/>
        </w:rPr>
      </w:pPr>
      <w:r>
        <w:rPr>
          <w:rFonts w:ascii="Calibri" w:hAnsi="Calibri"/>
        </w:rPr>
        <w:t>LEO constellation developments, noting the growth in digital communications capabilities from different low earth orbiting satellites.  This technology will be reviewed at ENAV 25 (ENAV25-2.1.1, action item 25 refers)</w:t>
      </w:r>
    </w:p>
    <w:p w14:paraId="25F58E18" w14:textId="1DEA68E7" w:rsidR="00FC7AD7" w:rsidRDefault="00FC7AD7" w:rsidP="00A446C9">
      <w:pPr>
        <w:pStyle w:val="BodyText"/>
        <w:numPr>
          <w:ilvl w:val="0"/>
          <w:numId w:val="46"/>
        </w:numPr>
        <w:rPr>
          <w:rFonts w:ascii="Calibri" w:hAnsi="Calibri"/>
        </w:rPr>
      </w:pPr>
      <w:r>
        <w:rPr>
          <w:rFonts w:ascii="Calibri" w:hAnsi="Calibri"/>
        </w:rPr>
        <w:t xml:space="preserve">NAVDAT – noting developments as presented at IMO, including the recent input to NCSR, this technology may be reviewed if expertise and input is received for ENAV25. </w:t>
      </w:r>
    </w:p>
    <w:p w14:paraId="44C72A07" w14:textId="23E97560" w:rsidR="00FC7AD7" w:rsidRPr="003E233A" w:rsidRDefault="00FC7AD7" w:rsidP="00A446C9">
      <w:pPr>
        <w:pStyle w:val="BodyText"/>
        <w:numPr>
          <w:ilvl w:val="0"/>
          <w:numId w:val="46"/>
        </w:numPr>
        <w:rPr>
          <w:rFonts w:ascii="Calibri" w:hAnsi="Calibri"/>
        </w:rPr>
      </w:pPr>
      <w:proofErr w:type="spellStart"/>
      <w:r>
        <w:rPr>
          <w:rFonts w:ascii="Calibri" w:hAnsi="Calibri"/>
        </w:rPr>
        <w:t>LiFi</w:t>
      </w:r>
      <w:proofErr w:type="spellEnd"/>
      <w:r>
        <w:rPr>
          <w:rFonts w:ascii="Calibri" w:hAnsi="Calibri"/>
        </w:rPr>
        <w:t xml:space="preserve"> – </w:t>
      </w:r>
      <w:proofErr w:type="spellStart"/>
      <w:r>
        <w:rPr>
          <w:rFonts w:ascii="Calibri" w:hAnsi="Calibri"/>
        </w:rPr>
        <w:t>LiFi</w:t>
      </w:r>
      <w:proofErr w:type="spellEnd"/>
      <w:r>
        <w:rPr>
          <w:rFonts w:ascii="Calibri" w:hAnsi="Calibri"/>
        </w:rPr>
        <w:t xml:space="preserve">, or light fidelity, </w:t>
      </w:r>
      <w:r w:rsidR="00BC179A">
        <w:rPr>
          <w:rFonts w:ascii="Calibri" w:hAnsi="Calibri"/>
        </w:rPr>
        <w:t>is a communications capability based on Visual Light Communication (VLC) that uses LEDs to network a wireless system.  this technology may be reviewed if expertise and input is received for ENAV25.</w:t>
      </w:r>
    </w:p>
    <w:p w14:paraId="6FFE80C5" w14:textId="79450796" w:rsidR="00D74287" w:rsidRDefault="00D74287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All listed technologies can be used for proprietary maritime </w:t>
      </w:r>
      <w:proofErr w:type="gramStart"/>
      <w:r>
        <w:rPr>
          <w:rFonts w:ascii="Calibri" w:hAnsi="Calibri"/>
        </w:rPr>
        <w:t>communications, but</w:t>
      </w:r>
      <w:proofErr w:type="gramEnd"/>
      <w:r>
        <w:rPr>
          <w:rFonts w:ascii="Calibri" w:hAnsi="Calibri"/>
        </w:rPr>
        <w:t xml:space="preserve"> may not address standardization or security aspects. 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1C20A86F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5E2A4CC0" w:rsidR="00F25BF4" w:rsidRPr="007A395D" w:rsidRDefault="003E233A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 xml:space="preserve">Review the proposed candidate technologies and provide input, as appropriate, to assist WG2 in their deliberations; </w:t>
      </w:r>
    </w:p>
    <w:p w14:paraId="7A9FD49F" w14:textId="1ACA2AAE" w:rsidR="00F25BF4" w:rsidRPr="007A395D" w:rsidRDefault="00C4357B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>Identify any additional technologies that may be suitable to address the requirements and needs of IALA members and provide information on these to WG2 during ENAV2</w:t>
      </w:r>
      <w:r w:rsidR="000E5636">
        <w:rPr>
          <w:rFonts w:ascii="Calibri" w:hAnsi="Calibri"/>
        </w:rPr>
        <w:t>5</w:t>
      </w:r>
      <w:r>
        <w:rPr>
          <w:rFonts w:ascii="Calibri" w:hAnsi="Calibri"/>
        </w:rPr>
        <w:t xml:space="preserve">. </w:t>
      </w:r>
    </w:p>
    <w:sectPr w:rsidR="00F25BF4" w:rsidRPr="007A395D" w:rsidSect="0082480E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E3682C" w14:textId="77777777" w:rsidR="00773EEB" w:rsidRDefault="00773EEB" w:rsidP="00362CD9">
      <w:r>
        <w:separator/>
      </w:r>
    </w:p>
  </w:endnote>
  <w:endnote w:type="continuationSeparator" w:id="0">
    <w:p w14:paraId="4527E2F8" w14:textId="77777777" w:rsidR="00773EEB" w:rsidRDefault="00773EE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072E1" w14:textId="77777777" w:rsidR="003C299C" w:rsidRPr="003C299C" w:rsidRDefault="003C299C" w:rsidP="003C299C">
    <w:pPr>
      <w:pStyle w:val="Footer"/>
      <w:rPr>
        <w:rFonts w:ascii="Calibri" w:hAnsi="Calibri"/>
        <w:b/>
        <w:bCs/>
        <w:sz w:val="20"/>
        <w:szCs w:val="20"/>
      </w:rPr>
    </w:pPr>
    <w:r w:rsidRPr="003C299C">
      <w:rPr>
        <w:rFonts w:ascii="Calibri" w:hAnsi="Calibri"/>
        <w:b/>
        <w:bCs/>
        <w:sz w:val="20"/>
        <w:szCs w:val="20"/>
      </w:rPr>
      <w:t>Candidate Technologies for use by IALA members</w:t>
    </w:r>
  </w:p>
  <w:p w14:paraId="08F0EF88" w14:textId="730C720E" w:rsidR="00362CD9" w:rsidRPr="00036B9E" w:rsidRDefault="00362CD9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8AE6E" w14:textId="77777777" w:rsidR="00773EEB" w:rsidRDefault="00773EEB" w:rsidP="00362CD9">
      <w:r>
        <w:separator/>
      </w:r>
    </w:p>
  </w:footnote>
  <w:footnote w:type="continuationSeparator" w:id="0">
    <w:p w14:paraId="01763EE4" w14:textId="77777777" w:rsidR="00773EEB" w:rsidRDefault="00773EEB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7C346C" w:rsidRDefault="00773EEB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73EEB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773EEB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441F38"/>
    <w:multiLevelType w:val="hybridMultilevel"/>
    <w:tmpl w:val="B0A8C8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D66449"/>
    <w:multiLevelType w:val="hybridMultilevel"/>
    <w:tmpl w:val="47C49322"/>
    <w:lvl w:ilvl="0" w:tplc="0409000F">
      <w:start w:val="1"/>
      <w:numFmt w:val="decimal"/>
      <w:lvlText w:val="%1."/>
      <w:lvlJc w:val="left"/>
      <w:pPr>
        <w:ind w:left="1555" w:hanging="420"/>
      </w:p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6"/>
  </w:num>
  <w:num w:numId="15">
    <w:abstractNumId w:val="26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25"/>
  </w:num>
  <w:num w:numId="46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051D3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0D24BC"/>
    <w:rsid w:val="000E5636"/>
    <w:rsid w:val="00110AE7"/>
    <w:rsid w:val="0014536C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2721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21488"/>
    <w:rsid w:val="00356CD0"/>
    <w:rsid w:val="00362CD9"/>
    <w:rsid w:val="003761CA"/>
    <w:rsid w:val="00380DAF"/>
    <w:rsid w:val="003972CE"/>
    <w:rsid w:val="003B28F5"/>
    <w:rsid w:val="003B394E"/>
    <w:rsid w:val="003B7B7D"/>
    <w:rsid w:val="003C299C"/>
    <w:rsid w:val="003C54CB"/>
    <w:rsid w:val="003C7A2A"/>
    <w:rsid w:val="003D2DC1"/>
    <w:rsid w:val="003D69D0"/>
    <w:rsid w:val="003E233A"/>
    <w:rsid w:val="003F2918"/>
    <w:rsid w:val="003F430E"/>
    <w:rsid w:val="0041088C"/>
    <w:rsid w:val="00412DD0"/>
    <w:rsid w:val="00420A38"/>
    <w:rsid w:val="00431B19"/>
    <w:rsid w:val="004661AD"/>
    <w:rsid w:val="004836DF"/>
    <w:rsid w:val="004A6C1D"/>
    <w:rsid w:val="004C523B"/>
    <w:rsid w:val="004C6162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77CFD"/>
    <w:rsid w:val="00691FD0"/>
    <w:rsid w:val="00692148"/>
    <w:rsid w:val="006A1A1E"/>
    <w:rsid w:val="006C5948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73EEB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D1694"/>
    <w:rsid w:val="008D79CB"/>
    <w:rsid w:val="008F07BC"/>
    <w:rsid w:val="0091148D"/>
    <w:rsid w:val="0092692B"/>
    <w:rsid w:val="00930561"/>
    <w:rsid w:val="00943E9C"/>
    <w:rsid w:val="00944507"/>
    <w:rsid w:val="00953F4D"/>
    <w:rsid w:val="00960BB8"/>
    <w:rsid w:val="00964F5C"/>
    <w:rsid w:val="00973B57"/>
    <w:rsid w:val="00975900"/>
    <w:rsid w:val="009831C0"/>
    <w:rsid w:val="0099161D"/>
    <w:rsid w:val="009D4C13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179A"/>
    <w:rsid w:val="00BC2334"/>
    <w:rsid w:val="00BD3CB8"/>
    <w:rsid w:val="00BD4E6F"/>
    <w:rsid w:val="00BF32F0"/>
    <w:rsid w:val="00BF4DCE"/>
    <w:rsid w:val="00C05CE5"/>
    <w:rsid w:val="00C32EEC"/>
    <w:rsid w:val="00C4357B"/>
    <w:rsid w:val="00C6171E"/>
    <w:rsid w:val="00C81537"/>
    <w:rsid w:val="00C84517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74287"/>
    <w:rsid w:val="00D81801"/>
    <w:rsid w:val="00D92B45"/>
    <w:rsid w:val="00D95962"/>
    <w:rsid w:val="00DC389B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C7AD7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NormalWeb">
    <w:name w:val="Normal (Web)"/>
    <w:basedOn w:val="Normal"/>
    <w:uiPriority w:val="99"/>
    <w:semiHidden/>
    <w:unhideWhenUsed/>
    <w:rsid w:val="003E233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3E233A"/>
    <w:rPr>
      <w:color w:val="605E5C"/>
      <w:shd w:val="clear" w:color="auto" w:fill="E1DFDD"/>
    </w:rPr>
  </w:style>
  <w:style w:type="paragraph" w:customStyle="1" w:styleId="Default">
    <w:name w:val="Default"/>
    <w:rsid w:val="0091148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47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pi.com/2079-9292/8/1/15/ht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ncbi.nlm.nih.gov/pmc/articles/PMC6163321/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E51EB-13E6-40CB-ADC8-1379BF7B9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714</Words>
  <Characters>4076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2</cp:revision>
  <dcterms:created xsi:type="dcterms:W3CDTF">2020-02-26T03:42:00Z</dcterms:created>
  <dcterms:modified xsi:type="dcterms:W3CDTF">2020-02-26T03:42:00Z</dcterms:modified>
</cp:coreProperties>
</file>