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113" w:rsidRDefault="00862910" w:rsidP="00874E11">
      <w:pPr>
        <w:pStyle w:val="Header"/>
        <w:tabs>
          <w:tab w:val="clear" w:pos="9639"/>
          <w:tab w:val="right" w:pos="5954"/>
        </w:tabs>
        <w:spacing w:after="120"/>
        <w:jc w:val="center"/>
      </w:pPr>
      <w:r>
        <w:rPr>
          <w:b/>
          <w:bCs/>
          <w:noProof/>
          <w:sz w:val="32"/>
          <w:szCs w:val="32"/>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46.65pt;height:45.65pt;visibility:visible">
            <v:imagedata r:id="rId8" o:title=""/>
          </v:shape>
        </w:pict>
      </w:r>
    </w:p>
    <w:p w:rsidR="00281113" w:rsidRPr="00001A97" w:rsidRDefault="00281113" w:rsidP="003D4829">
      <w:pPr>
        <w:pStyle w:val="Header"/>
        <w:tabs>
          <w:tab w:val="clear" w:pos="9639"/>
          <w:tab w:val="right" w:pos="5954"/>
        </w:tabs>
        <w:spacing w:after="240"/>
        <w:jc w:val="center"/>
        <w:rPr>
          <w:lang w:val="en-GB"/>
        </w:rPr>
      </w:pPr>
      <w:r>
        <w:tab/>
      </w:r>
      <w:r w:rsidRPr="00001A97">
        <w:rPr>
          <w:lang w:val="en-GB"/>
        </w:rPr>
        <w:t xml:space="preserve">Input paper: </w:t>
      </w:r>
      <w:r w:rsidRPr="00EA5A97">
        <w:rPr>
          <w:rStyle w:val="FootnoteReference"/>
          <w:sz w:val="22"/>
          <w:szCs w:val="22"/>
          <w:vertAlign w:val="superscript"/>
        </w:rPr>
        <w:footnoteReference w:id="1"/>
      </w:r>
      <w:r w:rsidRPr="00001A97">
        <w:rPr>
          <w:lang w:val="en-GB"/>
        </w:rPr>
        <w:tab/>
        <w:t xml:space="preserve">     </w:t>
      </w:r>
      <w:r w:rsidR="00BB3A22">
        <w:rPr>
          <w:lang w:val="en-GB"/>
        </w:rPr>
        <w:t>VTS42-8.1.2</w:t>
      </w:r>
      <w:bookmarkStart w:id="0" w:name="_GoBack"/>
      <w:bookmarkEnd w:id="0"/>
    </w:p>
    <w:p w:rsidR="00281113" w:rsidRPr="00001A97" w:rsidRDefault="00281113" w:rsidP="00FE5674">
      <w:pPr>
        <w:pStyle w:val="BodyText"/>
        <w:tabs>
          <w:tab w:val="left" w:pos="2835"/>
        </w:tabs>
        <w:rPr>
          <w:lang w:val="en-GB"/>
        </w:rPr>
      </w:pPr>
    </w:p>
    <w:p w:rsidR="00281113" w:rsidRPr="00001A97" w:rsidRDefault="00281113" w:rsidP="00FE5674">
      <w:pPr>
        <w:pStyle w:val="BodyText"/>
        <w:tabs>
          <w:tab w:val="left" w:pos="2835"/>
        </w:tabs>
        <w:rPr>
          <w:lang w:val="en-GB"/>
        </w:rPr>
      </w:pPr>
      <w:r w:rsidRPr="00001A97">
        <w:rPr>
          <w:lang w:val="en-GB"/>
        </w:rPr>
        <w:t xml:space="preserve">Input paper for the following Committee(s): </w:t>
      </w:r>
      <w:r w:rsidRPr="00001A97">
        <w:rPr>
          <w:lang w:val="en-GB"/>
        </w:rPr>
        <w:tab/>
      </w:r>
      <w:r w:rsidRPr="00001A97">
        <w:rPr>
          <w:sz w:val="18"/>
          <w:szCs w:val="18"/>
          <w:lang w:val="en-GB"/>
        </w:rPr>
        <w:t>check as appropriate</w:t>
      </w:r>
      <w:r w:rsidRPr="00001A97">
        <w:rPr>
          <w:sz w:val="18"/>
          <w:szCs w:val="18"/>
          <w:lang w:val="en-GB"/>
        </w:rPr>
        <w:tab/>
      </w:r>
      <w:r w:rsidRPr="00001A97">
        <w:rPr>
          <w:lang w:val="en-GB"/>
        </w:rPr>
        <w:tab/>
        <w:t>Purpose of paper:</w:t>
      </w:r>
    </w:p>
    <w:p w:rsidR="00281113" w:rsidRPr="00001A97" w:rsidRDefault="00281113" w:rsidP="00037DF4">
      <w:pPr>
        <w:pStyle w:val="BodyText"/>
        <w:tabs>
          <w:tab w:val="left" w:pos="1843"/>
        </w:tabs>
        <w:rPr>
          <w:b/>
          <w:bCs/>
          <w:sz w:val="24"/>
          <w:szCs w:val="24"/>
          <w:lang w:val="en-GB"/>
        </w:rPr>
      </w:pPr>
      <w:r w:rsidRPr="00001A97">
        <w:rPr>
          <w:b/>
          <w:bCs/>
          <w:sz w:val="24"/>
          <w:szCs w:val="24"/>
          <w:lang w:val="en-GB"/>
        </w:rPr>
        <w:t>□</w:t>
      </w:r>
      <w:r w:rsidRPr="00001A97">
        <w:rPr>
          <w:sz w:val="24"/>
          <w:szCs w:val="24"/>
          <w:lang w:val="en-GB"/>
        </w:rPr>
        <w:t xml:space="preserve">  </w:t>
      </w:r>
      <w:r w:rsidRPr="00001A97">
        <w:rPr>
          <w:lang w:val="en-GB"/>
        </w:rPr>
        <w:t>ARM</w:t>
      </w:r>
      <w:r w:rsidRPr="00001A97">
        <w:rPr>
          <w:lang w:val="en-GB"/>
        </w:rPr>
        <w:tab/>
      </w:r>
      <w:r w:rsidRPr="00001A97">
        <w:rPr>
          <w:b/>
          <w:bCs/>
          <w:sz w:val="24"/>
          <w:szCs w:val="24"/>
          <w:lang w:val="en-GB"/>
        </w:rPr>
        <w:t>□</w:t>
      </w:r>
      <w:r w:rsidRPr="00001A97">
        <w:rPr>
          <w:sz w:val="24"/>
          <w:szCs w:val="24"/>
          <w:lang w:val="en-GB"/>
        </w:rPr>
        <w:t xml:space="preserve">  </w:t>
      </w:r>
      <w:r w:rsidRPr="00001A97">
        <w:rPr>
          <w:lang w:val="en-GB"/>
        </w:rPr>
        <w:t>ENG</w:t>
      </w:r>
      <w:r w:rsidRPr="00001A97">
        <w:rPr>
          <w:lang w:val="en-GB"/>
        </w:rPr>
        <w:tab/>
      </w:r>
      <w:r w:rsidRPr="00001A97">
        <w:rPr>
          <w:lang w:val="en-GB"/>
        </w:rPr>
        <w:tab/>
      </w:r>
      <w:r w:rsidRPr="00001A97">
        <w:rPr>
          <w:b/>
          <w:bCs/>
          <w:sz w:val="24"/>
          <w:szCs w:val="24"/>
          <w:lang w:val="en-GB"/>
        </w:rPr>
        <w:t>□</w:t>
      </w:r>
      <w:r w:rsidRPr="00001A97">
        <w:rPr>
          <w:sz w:val="24"/>
          <w:szCs w:val="24"/>
          <w:lang w:val="en-GB"/>
        </w:rPr>
        <w:t xml:space="preserve">  </w:t>
      </w:r>
      <w:r w:rsidRPr="00001A97">
        <w:rPr>
          <w:lang w:val="en-GB"/>
        </w:rPr>
        <w:t>PAP</w:t>
      </w:r>
      <w:r w:rsidRPr="00001A97">
        <w:rPr>
          <w:sz w:val="24"/>
          <w:szCs w:val="24"/>
          <w:lang w:val="en-GB"/>
        </w:rPr>
        <w:tab/>
      </w:r>
      <w:r w:rsidRPr="00001A97">
        <w:rPr>
          <w:sz w:val="24"/>
          <w:szCs w:val="24"/>
          <w:lang w:val="en-GB"/>
        </w:rPr>
        <w:tab/>
      </w:r>
      <w:r w:rsidRPr="00001A97">
        <w:rPr>
          <w:sz w:val="24"/>
          <w:szCs w:val="24"/>
          <w:lang w:val="en-GB"/>
        </w:rPr>
        <w:tab/>
      </w:r>
      <w:r w:rsidRPr="00001A97">
        <w:rPr>
          <w:sz w:val="24"/>
          <w:szCs w:val="24"/>
          <w:lang w:val="en-GB"/>
        </w:rPr>
        <w:tab/>
      </w:r>
      <w:r w:rsidRPr="00001A97">
        <w:rPr>
          <w:sz w:val="24"/>
          <w:szCs w:val="24"/>
          <w:lang w:val="en-GB"/>
        </w:rPr>
        <w:tab/>
      </w:r>
      <w:r w:rsidRPr="00001A97">
        <w:rPr>
          <w:sz w:val="22"/>
          <w:szCs w:val="22"/>
          <w:lang w:val="en-GB"/>
        </w:rPr>
        <w:sym w:font="Wingdings 2" w:char="F052"/>
      </w:r>
      <w:r w:rsidRPr="00001A97">
        <w:rPr>
          <w:sz w:val="24"/>
          <w:szCs w:val="24"/>
          <w:lang w:val="en-GB"/>
        </w:rPr>
        <w:t xml:space="preserve">  Input</w:t>
      </w:r>
    </w:p>
    <w:p w:rsidR="00281113" w:rsidRPr="00001A97" w:rsidRDefault="00281113" w:rsidP="00037DF4">
      <w:pPr>
        <w:pStyle w:val="BodyText"/>
        <w:tabs>
          <w:tab w:val="left" w:pos="1843"/>
        </w:tabs>
        <w:rPr>
          <w:lang w:val="en-GB"/>
        </w:rPr>
      </w:pPr>
      <w:r w:rsidRPr="00001A97">
        <w:rPr>
          <w:b/>
          <w:bCs/>
          <w:sz w:val="24"/>
          <w:szCs w:val="24"/>
          <w:lang w:val="en-GB"/>
        </w:rPr>
        <w:t>□</w:t>
      </w:r>
      <w:r w:rsidRPr="00001A97">
        <w:rPr>
          <w:sz w:val="24"/>
          <w:szCs w:val="24"/>
          <w:lang w:val="en-GB"/>
        </w:rPr>
        <w:t xml:space="preserve">  </w:t>
      </w:r>
      <w:r w:rsidRPr="00001A97">
        <w:rPr>
          <w:lang w:val="en-GB"/>
        </w:rPr>
        <w:t>ENAV</w:t>
      </w:r>
      <w:r w:rsidRPr="00001A97">
        <w:rPr>
          <w:b/>
          <w:bCs/>
          <w:sz w:val="24"/>
          <w:szCs w:val="24"/>
          <w:lang w:val="en-GB"/>
        </w:rPr>
        <w:tab/>
      </w:r>
      <w:r w:rsidRPr="00001A97">
        <w:rPr>
          <w:sz w:val="22"/>
          <w:szCs w:val="22"/>
        </w:rPr>
        <w:sym w:font="Wingdings 2" w:char="F052"/>
      </w:r>
      <w:r>
        <w:rPr>
          <w:lang w:val="en-GB"/>
        </w:rPr>
        <w:t xml:space="preserve">  </w:t>
      </w:r>
      <w:r w:rsidRPr="00001A97">
        <w:rPr>
          <w:lang w:val="en-GB"/>
        </w:rPr>
        <w:t>VTS</w:t>
      </w:r>
      <w:r w:rsidRPr="00001A97">
        <w:rPr>
          <w:sz w:val="24"/>
          <w:szCs w:val="24"/>
          <w:lang w:val="en-GB"/>
        </w:rPr>
        <w:tab/>
      </w:r>
      <w:r w:rsidRPr="00001A97">
        <w:rPr>
          <w:sz w:val="24"/>
          <w:szCs w:val="24"/>
          <w:lang w:val="en-GB"/>
        </w:rPr>
        <w:tab/>
      </w:r>
      <w:r w:rsidRPr="00001A97">
        <w:rPr>
          <w:sz w:val="24"/>
          <w:szCs w:val="24"/>
          <w:lang w:val="en-GB"/>
        </w:rPr>
        <w:tab/>
      </w:r>
      <w:r w:rsidRPr="00001A97">
        <w:rPr>
          <w:sz w:val="24"/>
          <w:szCs w:val="24"/>
          <w:lang w:val="en-GB"/>
        </w:rPr>
        <w:tab/>
      </w:r>
      <w:r w:rsidRPr="00001A97">
        <w:rPr>
          <w:sz w:val="24"/>
          <w:szCs w:val="24"/>
          <w:lang w:val="en-GB"/>
        </w:rPr>
        <w:tab/>
      </w:r>
      <w:r w:rsidRPr="00001A97">
        <w:rPr>
          <w:sz w:val="24"/>
          <w:szCs w:val="24"/>
          <w:lang w:val="en-GB"/>
        </w:rPr>
        <w:tab/>
      </w:r>
      <w:r w:rsidRPr="00001A97">
        <w:rPr>
          <w:sz w:val="24"/>
          <w:szCs w:val="24"/>
          <w:lang w:val="en-GB"/>
        </w:rPr>
        <w:tab/>
      </w:r>
      <w:r w:rsidRPr="00001A97">
        <w:rPr>
          <w:b/>
          <w:bCs/>
          <w:sz w:val="24"/>
          <w:szCs w:val="24"/>
          <w:lang w:val="en-GB"/>
        </w:rPr>
        <w:t>□</w:t>
      </w:r>
      <w:r w:rsidRPr="00001A97">
        <w:rPr>
          <w:sz w:val="24"/>
          <w:szCs w:val="24"/>
          <w:lang w:val="en-GB"/>
        </w:rPr>
        <w:t xml:space="preserve">  Information</w:t>
      </w:r>
    </w:p>
    <w:p w:rsidR="00281113" w:rsidRPr="00001A97" w:rsidRDefault="00281113" w:rsidP="00FE5674">
      <w:pPr>
        <w:pStyle w:val="BodyText"/>
        <w:tabs>
          <w:tab w:val="left" w:pos="2835"/>
        </w:tabs>
        <w:rPr>
          <w:lang w:val="en-GB"/>
        </w:rPr>
      </w:pPr>
    </w:p>
    <w:p w:rsidR="00281113" w:rsidRPr="00001A97" w:rsidRDefault="00281113" w:rsidP="00FE5674">
      <w:pPr>
        <w:pStyle w:val="BodyText"/>
        <w:tabs>
          <w:tab w:val="left" w:pos="2835"/>
        </w:tabs>
        <w:rPr>
          <w:lang w:val="en-GB"/>
        </w:rPr>
      </w:pPr>
      <w:r w:rsidRPr="00001A97">
        <w:rPr>
          <w:lang w:val="en-GB"/>
        </w:rPr>
        <w:t xml:space="preserve">Agenda item </w:t>
      </w:r>
      <w:r w:rsidRPr="00037DF4">
        <w:rPr>
          <w:rStyle w:val="FootnoteReference"/>
          <w:sz w:val="22"/>
          <w:szCs w:val="22"/>
          <w:vertAlign w:val="superscript"/>
        </w:rPr>
        <w:footnoteReference w:id="2"/>
      </w:r>
      <w:r w:rsidRPr="00001A97">
        <w:rPr>
          <w:lang w:val="en-GB"/>
        </w:rPr>
        <w:tab/>
      </w:r>
      <w:r w:rsidRPr="00001A97">
        <w:rPr>
          <w:lang w:val="en-GB"/>
        </w:rPr>
        <w:tab/>
      </w:r>
      <w:r w:rsidRPr="00001A97">
        <w:rPr>
          <w:lang w:val="en-GB"/>
        </w:rPr>
        <w:tab/>
      </w:r>
      <w:r>
        <w:rPr>
          <w:lang w:val="en-GB"/>
        </w:rPr>
        <w:t>8.1</w:t>
      </w:r>
    </w:p>
    <w:p w:rsidR="00281113" w:rsidRPr="00001A97" w:rsidRDefault="00281113" w:rsidP="00FE5674">
      <w:pPr>
        <w:pStyle w:val="BodyText"/>
        <w:tabs>
          <w:tab w:val="left" w:pos="2835"/>
        </w:tabs>
        <w:rPr>
          <w:lang w:val="en-GB"/>
        </w:rPr>
      </w:pPr>
      <w:r w:rsidRPr="00001A97">
        <w:rPr>
          <w:lang w:val="en-GB"/>
        </w:rPr>
        <w:t xml:space="preserve">Technical Domain / Task Number </w:t>
      </w:r>
      <w:r w:rsidRPr="00001A97">
        <w:rPr>
          <w:vertAlign w:val="superscript"/>
          <w:lang w:val="en-GB"/>
        </w:rPr>
        <w:t>2</w:t>
      </w:r>
      <w:r w:rsidRPr="00001A97">
        <w:rPr>
          <w:lang w:val="en-GB"/>
        </w:rPr>
        <w:tab/>
      </w:r>
      <w:r>
        <w:rPr>
          <w:lang w:val="en-GB"/>
        </w:rPr>
        <w:t xml:space="preserve">Operations / Task 1.1.3 </w:t>
      </w:r>
    </w:p>
    <w:p w:rsidR="00281113" w:rsidRPr="00001A97" w:rsidRDefault="00281113" w:rsidP="00FE5674">
      <w:pPr>
        <w:pStyle w:val="BodyText"/>
        <w:tabs>
          <w:tab w:val="left" w:pos="2835"/>
        </w:tabs>
        <w:rPr>
          <w:color w:val="FF0000"/>
          <w:lang w:val="en-GB"/>
        </w:rPr>
      </w:pPr>
      <w:r w:rsidRPr="00001A97">
        <w:rPr>
          <w:lang w:val="en-GB"/>
        </w:rPr>
        <w:t>Author(s) / Submitter(s)</w:t>
      </w:r>
      <w:r w:rsidRPr="00001A97">
        <w:rPr>
          <w:lang w:val="en-GB"/>
        </w:rPr>
        <w:tab/>
      </w:r>
      <w:r w:rsidRPr="00001A97">
        <w:rPr>
          <w:lang w:val="en-GB"/>
        </w:rPr>
        <w:tab/>
      </w:r>
      <w:r w:rsidRPr="00001A97">
        <w:rPr>
          <w:lang w:val="en-GB"/>
        </w:rPr>
        <w:tab/>
      </w:r>
      <w:r>
        <w:rPr>
          <w:lang w:val="en-GB"/>
        </w:rPr>
        <w:t>Captain Jean-Charles CORNILLOU</w:t>
      </w:r>
    </w:p>
    <w:p w:rsidR="00281113" w:rsidRPr="00001A97" w:rsidRDefault="00281113" w:rsidP="00FE5674">
      <w:pPr>
        <w:pStyle w:val="BodyText"/>
        <w:tabs>
          <w:tab w:val="left" w:pos="2835"/>
        </w:tabs>
        <w:rPr>
          <w:lang w:val="en-GB"/>
        </w:rPr>
      </w:pPr>
    </w:p>
    <w:p w:rsidR="00281113" w:rsidRPr="00E9040A" w:rsidRDefault="00281113" w:rsidP="00A446C9">
      <w:pPr>
        <w:pStyle w:val="Title"/>
        <w:rPr>
          <w:lang w:val="en-GB"/>
        </w:rPr>
      </w:pPr>
      <w:r w:rsidRPr="00E9040A">
        <w:rPr>
          <w:lang w:val="en-GB"/>
        </w:rPr>
        <w:t>Comments on draft IALA Guideline On Marine casualty/incident reporting and recording, including near miss situations as it relates to VTS</w:t>
      </w:r>
    </w:p>
    <w:p w:rsidR="00281113" w:rsidRDefault="00281113" w:rsidP="00A446C9">
      <w:pPr>
        <w:pStyle w:val="Heading1"/>
      </w:pPr>
      <w:r>
        <w:t>Summary</w:t>
      </w:r>
    </w:p>
    <w:p w:rsidR="00281113" w:rsidRPr="00722878" w:rsidRDefault="00281113" w:rsidP="00B56BDF">
      <w:pPr>
        <w:pStyle w:val="BodyText"/>
        <w:rPr>
          <w:lang w:val="en-GB"/>
        </w:rPr>
      </w:pPr>
      <w:r>
        <w:rPr>
          <w:lang w:val="en-GB"/>
        </w:rPr>
        <w:t xml:space="preserve">The present paper is presenting some comments on the draft IALA guideline On Marine casualty/incident reporting and recording, including near miss situations as it relates to VTS (document </w:t>
      </w:r>
      <w:r w:rsidRPr="00722878">
        <w:rPr>
          <w:lang w:val="en-GB"/>
        </w:rPr>
        <w:t>VTS41-12.2.8</w:t>
      </w:r>
      <w:r>
        <w:rPr>
          <w:lang w:val="en-GB"/>
        </w:rPr>
        <w:t>)</w:t>
      </w:r>
    </w:p>
    <w:p w:rsidR="00281113" w:rsidRDefault="00281113" w:rsidP="00B56BDF">
      <w:pPr>
        <w:pStyle w:val="Heading2"/>
      </w:pPr>
      <w:r>
        <w:t>Purpose of the document</w:t>
      </w:r>
    </w:p>
    <w:p w:rsidR="00281113" w:rsidRPr="00001A97" w:rsidRDefault="00281113" w:rsidP="00E55927">
      <w:pPr>
        <w:pStyle w:val="BodyText"/>
        <w:rPr>
          <w:lang w:val="en-GB"/>
        </w:rPr>
      </w:pPr>
      <w:r>
        <w:rPr>
          <w:lang w:val="en-GB"/>
        </w:rPr>
        <w:t>This paper is presenting amendments to the draft IALA guidelines On Marine Casualty/incident reporting and recording, including near miss situations as it relates to VTS.</w:t>
      </w:r>
    </w:p>
    <w:p w:rsidR="00281113" w:rsidRDefault="00281113" w:rsidP="00B56BDF">
      <w:pPr>
        <w:pStyle w:val="Heading2"/>
      </w:pPr>
      <w:r>
        <w:t>Related documents (enclosed)</w:t>
      </w:r>
    </w:p>
    <w:p w:rsidR="00281113" w:rsidRDefault="00281113" w:rsidP="00E55927">
      <w:pPr>
        <w:pStyle w:val="BodyText"/>
      </w:pPr>
      <w:r>
        <w:t xml:space="preserve">VTS41-12.2.8 </w:t>
      </w:r>
      <w:r w:rsidR="00263608">
        <w:t>corrected</w:t>
      </w:r>
    </w:p>
    <w:p w:rsidR="00281113" w:rsidRPr="00B56BDF" w:rsidRDefault="00281113" w:rsidP="00E55927">
      <w:pPr>
        <w:pStyle w:val="BodyText"/>
      </w:pPr>
    </w:p>
    <w:p w:rsidR="00281113" w:rsidRDefault="00281113" w:rsidP="00A446C9">
      <w:pPr>
        <w:pStyle w:val="Heading1"/>
      </w:pPr>
      <w:r>
        <w:t>Background</w:t>
      </w:r>
    </w:p>
    <w:p w:rsidR="00281113" w:rsidRDefault="00281113" w:rsidP="00722878">
      <w:pPr>
        <w:jc w:val="both"/>
        <w:rPr>
          <w:sz w:val="20"/>
          <w:szCs w:val="20"/>
          <w:lang w:val="en-US"/>
        </w:rPr>
      </w:pPr>
      <w:r w:rsidRPr="00722878">
        <w:rPr>
          <w:sz w:val="20"/>
          <w:szCs w:val="20"/>
          <w:lang w:val="en-US"/>
        </w:rPr>
        <w:t>Concerning IA</w:t>
      </w:r>
      <w:r w:rsidR="00263608">
        <w:rPr>
          <w:sz w:val="20"/>
          <w:szCs w:val="20"/>
          <w:lang w:val="en-US"/>
        </w:rPr>
        <w:t>LA Guideline on Marine casualty/</w:t>
      </w:r>
      <w:r w:rsidRPr="00722878">
        <w:rPr>
          <w:sz w:val="20"/>
          <w:szCs w:val="20"/>
          <w:lang w:val="en-US"/>
        </w:rPr>
        <w:t>incident reporting and recording, including near miss si</w:t>
      </w:r>
      <w:r w:rsidR="00263608">
        <w:rPr>
          <w:sz w:val="20"/>
          <w:szCs w:val="20"/>
          <w:lang w:val="en-US"/>
        </w:rPr>
        <w:t>tuations as it relates to VTS, t</w:t>
      </w:r>
      <w:r w:rsidRPr="00722878">
        <w:rPr>
          <w:sz w:val="20"/>
          <w:szCs w:val="20"/>
          <w:lang w:val="en-US"/>
        </w:rPr>
        <w:t>his system exists</w:t>
      </w:r>
      <w:r w:rsidR="00263608">
        <w:rPr>
          <w:sz w:val="20"/>
          <w:szCs w:val="20"/>
          <w:lang w:val="en-US"/>
        </w:rPr>
        <w:t xml:space="preserve"> already</w:t>
      </w:r>
      <w:r w:rsidRPr="00722878">
        <w:rPr>
          <w:sz w:val="20"/>
          <w:szCs w:val="20"/>
          <w:lang w:val="en-US"/>
        </w:rPr>
        <w:t xml:space="preserve"> in International Civ</w:t>
      </w:r>
      <w:r w:rsidR="00263608">
        <w:rPr>
          <w:sz w:val="20"/>
          <w:szCs w:val="20"/>
          <w:lang w:val="en-US"/>
        </w:rPr>
        <w:t>il Aviation Organization (ICAO).</w:t>
      </w:r>
      <w:r w:rsidRPr="00722878">
        <w:rPr>
          <w:sz w:val="20"/>
          <w:szCs w:val="20"/>
          <w:lang w:val="en-US"/>
        </w:rPr>
        <w:t xml:space="preserve"> VTS should be inspired by this system to complete their mission, define by Resolution A.857(20) IMO in section 1.1.1, VTS is </w:t>
      </w:r>
      <w:r w:rsidRPr="00722878">
        <w:rPr>
          <w:i/>
          <w:iCs/>
          <w:sz w:val="20"/>
          <w:szCs w:val="20"/>
          <w:lang w:val="en-US"/>
        </w:rPr>
        <w:t>“a service implemented by a Competent Authority, designed to improve the safety and efficiency of vessel traffic and to protect the environment. The service should have the capability to interact with the traffic and to respond to traffic situations developing in the VTS area.”</w:t>
      </w:r>
      <w:r w:rsidRPr="00722878">
        <w:rPr>
          <w:sz w:val="20"/>
          <w:szCs w:val="20"/>
          <w:lang w:val="en-US"/>
        </w:rPr>
        <w:t>.</w:t>
      </w:r>
    </w:p>
    <w:p w:rsidR="00281113" w:rsidRPr="00722878" w:rsidRDefault="00281113" w:rsidP="00722878">
      <w:pPr>
        <w:jc w:val="both"/>
        <w:rPr>
          <w:sz w:val="20"/>
          <w:szCs w:val="20"/>
        </w:rPr>
      </w:pPr>
    </w:p>
    <w:p w:rsidR="00281113" w:rsidRDefault="00281113" w:rsidP="00722878">
      <w:pPr>
        <w:jc w:val="both"/>
        <w:rPr>
          <w:sz w:val="20"/>
          <w:szCs w:val="20"/>
          <w:lang w:val="en-US"/>
        </w:rPr>
      </w:pPr>
      <w:r w:rsidRPr="00722878">
        <w:rPr>
          <w:sz w:val="20"/>
          <w:szCs w:val="20"/>
          <w:lang w:val="en-US"/>
        </w:rPr>
        <w:t>This guideline is intended to provide guidance and information to VTS authorities and Competent authorities on the development and establishment of harmonized casualty/incident/near-miss reporting, recording and analysis processes to enhance marine se</w:t>
      </w:r>
      <w:r w:rsidR="00263608">
        <w:rPr>
          <w:sz w:val="20"/>
          <w:szCs w:val="20"/>
          <w:lang w:val="en-US"/>
        </w:rPr>
        <w:t>curity and the safety of life at</w:t>
      </w:r>
      <w:r w:rsidRPr="00722878">
        <w:rPr>
          <w:sz w:val="20"/>
          <w:szCs w:val="20"/>
          <w:lang w:val="en-US"/>
        </w:rPr>
        <w:t xml:space="preserve"> sea, and protection of environment.</w:t>
      </w:r>
    </w:p>
    <w:p w:rsidR="00281113" w:rsidRPr="00722878" w:rsidRDefault="00281113" w:rsidP="00722878">
      <w:pPr>
        <w:jc w:val="both"/>
        <w:rPr>
          <w:sz w:val="20"/>
          <w:szCs w:val="20"/>
        </w:rPr>
      </w:pPr>
    </w:p>
    <w:p w:rsidR="00281113" w:rsidRPr="00722878" w:rsidRDefault="00281113" w:rsidP="00722878">
      <w:pPr>
        <w:jc w:val="both"/>
        <w:rPr>
          <w:sz w:val="20"/>
          <w:szCs w:val="20"/>
          <w:lang w:val="en-US"/>
        </w:rPr>
      </w:pPr>
      <w:r w:rsidRPr="00722878">
        <w:rPr>
          <w:sz w:val="20"/>
          <w:szCs w:val="20"/>
          <w:lang w:val="en-US"/>
        </w:rPr>
        <w:t>But some points must be clarified and some other points could be source of problems in the guideline.</w:t>
      </w:r>
    </w:p>
    <w:p w:rsidR="00281113" w:rsidRPr="0020464B" w:rsidRDefault="00281113" w:rsidP="00A446C9">
      <w:pPr>
        <w:pStyle w:val="BodyText"/>
        <w:rPr>
          <w:lang w:val="en-US"/>
        </w:rPr>
      </w:pPr>
    </w:p>
    <w:p w:rsidR="00281113" w:rsidRDefault="00281113" w:rsidP="00A446C9">
      <w:pPr>
        <w:pStyle w:val="Heading1"/>
      </w:pPr>
      <w:r>
        <w:t>Discussion</w:t>
      </w:r>
    </w:p>
    <w:p w:rsidR="00281113" w:rsidRPr="00FD0F82" w:rsidRDefault="00281113" w:rsidP="00FD0F82">
      <w:pPr>
        <w:pStyle w:val="BodyText"/>
        <w:rPr>
          <w:lang w:val="en-GB" w:eastAsia="de-DE"/>
        </w:rPr>
      </w:pPr>
      <w:r w:rsidRPr="00FD0F82">
        <w:rPr>
          <w:lang w:val="en-GB" w:eastAsia="de-DE"/>
        </w:rPr>
        <w:t>The different clarifications and problems are explained in the chronologic order of the draft guideline.</w:t>
      </w:r>
    </w:p>
    <w:p w:rsidR="00281113" w:rsidRDefault="00281113" w:rsidP="00B604D5">
      <w:pPr>
        <w:pStyle w:val="Heading2"/>
      </w:pPr>
      <w:r>
        <w:lastRenderedPageBreak/>
        <w:t>Management of abnormal situations</w:t>
      </w:r>
    </w:p>
    <w:p w:rsidR="00281113" w:rsidRDefault="00281113" w:rsidP="00B604D5">
      <w:pPr>
        <w:pStyle w:val="BodyText"/>
        <w:rPr>
          <w:lang w:val="en-US"/>
        </w:rPr>
      </w:pPr>
      <w:r w:rsidRPr="00E43D9E">
        <w:rPr>
          <w:lang w:val="en-GB" w:eastAsia="en-GB"/>
        </w:rPr>
        <w:t>I</w:t>
      </w:r>
      <w:r>
        <w:rPr>
          <w:lang w:val="en-GB" w:eastAsia="en-GB"/>
        </w:rPr>
        <w:t>n paragraph 3.1, i</w:t>
      </w:r>
      <w:r w:rsidRPr="00E43D9E">
        <w:rPr>
          <w:lang w:val="en-GB" w:eastAsia="en-GB"/>
        </w:rPr>
        <w:t xml:space="preserve">t is mentioned in the draft guideline that </w:t>
      </w:r>
      <w:r>
        <w:rPr>
          <w:lang w:val="en-GB" w:eastAsia="en-GB"/>
        </w:rPr>
        <w:t>“</w:t>
      </w:r>
      <w:r w:rsidRPr="00E43D9E">
        <w:rPr>
          <w:lang w:val="en-GB" w:eastAsia="en-GB"/>
        </w:rPr>
        <w:t>the procedure to identify abnormal situation depends on</w:t>
      </w:r>
      <w:r>
        <w:rPr>
          <w:lang w:val="en-GB" w:eastAsia="en-GB"/>
        </w:rPr>
        <w:t xml:space="preserve"> the capability of the VTS and the VTS area. The procedure to identify abnormal situations should be integrated as routine procedures in VTS Centre according the IALA Recommendation V-127.</w:t>
      </w:r>
      <w:r w:rsidRPr="00E43D9E">
        <w:rPr>
          <w:lang w:val="en-US"/>
        </w:rPr>
        <w:t xml:space="preserve"> </w:t>
      </w:r>
      <w:r>
        <w:rPr>
          <w:lang w:val="en-US"/>
        </w:rPr>
        <w:t>A</w:t>
      </w:r>
      <w:r w:rsidRPr="00663605">
        <w:rPr>
          <w:lang w:val="en-US"/>
        </w:rPr>
        <w:t xml:space="preserve"> decision support tool or dynamic risk assessment tool could be useful to enhance the capability of VTSO to identify </w:t>
      </w:r>
      <w:r>
        <w:rPr>
          <w:lang w:val="en-US"/>
        </w:rPr>
        <w:t xml:space="preserve">abnormal situation </w:t>
      </w:r>
      <w:r w:rsidRPr="00663605">
        <w:rPr>
          <w:lang w:val="en-US"/>
        </w:rPr>
        <w:t>more efficiently</w:t>
      </w:r>
      <w:r>
        <w:rPr>
          <w:lang w:val="en-US"/>
        </w:rPr>
        <w:t>.”</w:t>
      </w:r>
    </w:p>
    <w:p w:rsidR="00281113" w:rsidRPr="00E43D9E" w:rsidRDefault="00281113" w:rsidP="00E43D9E">
      <w:pPr>
        <w:pStyle w:val="Normal1"/>
        <w:jc w:val="both"/>
        <w:rPr>
          <w:rFonts w:ascii="Arial" w:hAnsi="Arial" w:cs="Arial"/>
          <w:color w:val="auto"/>
          <w:sz w:val="20"/>
          <w:szCs w:val="20"/>
          <w:lang w:val="en-US"/>
        </w:rPr>
      </w:pPr>
      <w:r w:rsidRPr="00E43D9E">
        <w:rPr>
          <w:rFonts w:ascii="Arial" w:hAnsi="Arial" w:cs="Arial"/>
          <w:sz w:val="20"/>
          <w:szCs w:val="20"/>
          <w:lang w:val="en-US"/>
        </w:rPr>
        <w:t xml:space="preserve">It seams necessary to balance the idea and recall the reader of the guideline that </w:t>
      </w:r>
      <w:r>
        <w:rPr>
          <w:rFonts w:ascii="Arial" w:hAnsi="Arial" w:cs="Arial"/>
          <w:color w:val="auto"/>
          <w:sz w:val="20"/>
          <w:szCs w:val="20"/>
          <w:lang w:val="en-US"/>
        </w:rPr>
        <w:t>t</w:t>
      </w:r>
      <w:r w:rsidRPr="00E43D9E">
        <w:rPr>
          <w:rFonts w:ascii="Arial" w:hAnsi="Arial" w:cs="Arial"/>
          <w:color w:val="auto"/>
          <w:sz w:val="20"/>
          <w:szCs w:val="20"/>
          <w:lang w:val="en-US"/>
        </w:rPr>
        <w:t>he identification of abnormal situations should be based on the evaluation of various risks</w:t>
      </w:r>
      <w:r>
        <w:rPr>
          <w:rFonts w:ascii="Arial" w:hAnsi="Arial" w:cs="Arial"/>
          <w:color w:val="auto"/>
          <w:sz w:val="20"/>
          <w:szCs w:val="20"/>
          <w:lang w:val="en-US"/>
        </w:rPr>
        <w:t>, such as</w:t>
      </w:r>
      <w:r w:rsidRPr="00E43D9E">
        <w:rPr>
          <w:rFonts w:ascii="Arial" w:hAnsi="Arial" w:cs="Arial"/>
          <w:color w:val="auto"/>
          <w:sz w:val="20"/>
          <w:szCs w:val="20"/>
          <w:lang w:val="en-US"/>
        </w:rPr>
        <w:t xml:space="preserve"> including:</w:t>
      </w:r>
    </w:p>
    <w:p w:rsidR="00281113" w:rsidRPr="00E43D9E" w:rsidRDefault="00281113" w:rsidP="00E43D9E">
      <w:pPr>
        <w:pStyle w:val="ListParagraph"/>
        <w:widowControl w:val="0"/>
        <w:numPr>
          <w:ilvl w:val="0"/>
          <w:numId w:val="18"/>
        </w:numPr>
        <w:suppressAutoHyphens/>
        <w:jc w:val="both"/>
        <w:textAlignment w:val="baseline"/>
        <w:rPr>
          <w:sz w:val="20"/>
          <w:szCs w:val="20"/>
          <w:lang w:val="en-US"/>
        </w:rPr>
      </w:pPr>
      <w:r w:rsidRPr="00E43D9E">
        <w:rPr>
          <w:sz w:val="20"/>
          <w:szCs w:val="20"/>
          <w:lang w:val="en-US"/>
        </w:rPr>
        <w:t>Determining factors, for example :</w:t>
      </w:r>
    </w:p>
    <w:p w:rsidR="00281113" w:rsidRPr="00E43D9E" w:rsidRDefault="00281113" w:rsidP="00E43D9E">
      <w:pPr>
        <w:pStyle w:val="ListParagraph"/>
        <w:widowControl w:val="0"/>
        <w:numPr>
          <w:ilvl w:val="2"/>
          <w:numId w:val="18"/>
        </w:numPr>
        <w:suppressAutoHyphens/>
        <w:jc w:val="both"/>
        <w:textAlignment w:val="baseline"/>
        <w:rPr>
          <w:sz w:val="20"/>
          <w:szCs w:val="20"/>
          <w:lang w:val="en-US"/>
        </w:rPr>
      </w:pPr>
      <w:r w:rsidRPr="00E43D9E">
        <w:rPr>
          <w:sz w:val="20"/>
          <w:szCs w:val="20"/>
          <w:lang w:val="en-US"/>
        </w:rPr>
        <w:t>CPA/TCPA factor;</w:t>
      </w:r>
    </w:p>
    <w:p w:rsidR="00281113" w:rsidRPr="00E43D9E" w:rsidRDefault="00281113" w:rsidP="00E43D9E">
      <w:pPr>
        <w:pStyle w:val="ListParagraph"/>
        <w:widowControl w:val="0"/>
        <w:numPr>
          <w:ilvl w:val="2"/>
          <w:numId w:val="18"/>
        </w:numPr>
        <w:suppressAutoHyphens/>
        <w:jc w:val="both"/>
        <w:textAlignment w:val="baseline"/>
        <w:rPr>
          <w:sz w:val="20"/>
          <w:szCs w:val="20"/>
          <w:lang w:val="en-US"/>
        </w:rPr>
      </w:pPr>
      <w:r w:rsidRPr="00E43D9E">
        <w:rPr>
          <w:sz w:val="20"/>
          <w:szCs w:val="20"/>
          <w:lang w:val="en-US"/>
        </w:rPr>
        <w:t>Emergency maneuver of a vessel;</w:t>
      </w:r>
    </w:p>
    <w:p w:rsidR="00281113" w:rsidRPr="00E43D9E" w:rsidRDefault="00281113" w:rsidP="00E43D9E">
      <w:pPr>
        <w:pStyle w:val="ListParagraph"/>
        <w:widowControl w:val="0"/>
        <w:numPr>
          <w:ilvl w:val="2"/>
          <w:numId w:val="18"/>
        </w:numPr>
        <w:suppressAutoHyphens/>
        <w:jc w:val="both"/>
        <w:textAlignment w:val="baseline"/>
        <w:rPr>
          <w:sz w:val="20"/>
          <w:szCs w:val="20"/>
          <w:lang w:val="en-US"/>
        </w:rPr>
      </w:pPr>
      <w:r w:rsidRPr="00E43D9E">
        <w:rPr>
          <w:sz w:val="20"/>
          <w:szCs w:val="20"/>
          <w:lang w:val="en-US"/>
        </w:rPr>
        <w:t>Complaint addressed to VTS centre;</w:t>
      </w:r>
    </w:p>
    <w:p w:rsidR="00281113" w:rsidRPr="00E43D9E" w:rsidRDefault="00281113" w:rsidP="00E43D9E">
      <w:pPr>
        <w:pStyle w:val="ListParagraph"/>
        <w:widowControl w:val="0"/>
        <w:numPr>
          <w:ilvl w:val="2"/>
          <w:numId w:val="18"/>
        </w:numPr>
        <w:suppressAutoHyphens/>
        <w:jc w:val="both"/>
        <w:textAlignment w:val="baseline"/>
        <w:rPr>
          <w:sz w:val="20"/>
          <w:szCs w:val="20"/>
          <w:lang w:val="en-US"/>
        </w:rPr>
      </w:pPr>
      <w:r w:rsidRPr="00E43D9E">
        <w:rPr>
          <w:sz w:val="20"/>
          <w:szCs w:val="20"/>
          <w:lang w:val="en-US"/>
        </w:rPr>
        <w:t>Lack of the lookout in sight and hearing of a vessel;</w:t>
      </w:r>
    </w:p>
    <w:p w:rsidR="00281113" w:rsidRPr="00E43D9E" w:rsidRDefault="00281113" w:rsidP="00E43D9E">
      <w:pPr>
        <w:pStyle w:val="ListParagraph"/>
        <w:widowControl w:val="0"/>
        <w:numPr>
          <w:ilvl w:val="2"/>
          <w:numId w:val="18"/>
        </w:numPr>
        <w:suppressAutoHyphens/>
        <w:jc w:val="both"/>
        <w:textAlignment w:val="baseline"/>
        <w:rPr>
          <w:sz w:val="20"/>
          <w:szCs w:val="20"/>
          <w:lang w:val="en-US"/>
        </w:rPr>
      </w:pPr>
      <w:r w:rsidRPr="00E43D9E">
        <w:rPr>
          <w:sz w:val="20"/>
          <w:szCs w:val="20"/>
          <w:lang w:val="en-US"/>
        </w:rPr>
        <w:t>Etc…</w:t>
      </w:r>
    </w:p>
    <w:p w:rsidR="00281113" w:rsidRPr="00E43D9E" w:rsidRDefault="00281113" w:rsidP="00E43D9E">
      <w:pPr>
        <w:pStyle w:val="ListParagraph"/>
        <w:widowControl w:val="0"/>
        <w:numPr>
          <w:ilvl w:val="0"/>
          <w:numId w:val="18"/>
        </w:numPr>
        <w:suppressAutoHyphens/>
        <w:jc w:val="both"/>
        <w:textAlignment w:val="baseline"/>
        <w:rPr>
          <w:sz w:val="20"/>
          <w:szCs w:val="20"/>
          <w:lang w:val="en-US"/>
        </w:rPr>
      </w:pPr>
      <w:r w:rsidRPr="00E43D9E">
        <w:rPr>
          <w:sz w:val="20"/>
          <w:szCs w:val="20"/>
          <w:lang w:val="en-US"/>
        </w:rPr>
        <w:t xml:space="preserve">Additional factors, for example : </w:t>
      </w:r>
    </w:p>
    <w:p w:rsidR="00281113" w:rsidRPr="00E43D9E" w:rsidRDefault="00281113" w:rsidP="00E43D9E">
      <w:pPr>
        <w:pStyle w:val="ListParagraph"/>
        <w:widowControl w:val="0"/>
        <w:numPr>
          <w:ilvl w:val="2"/>
          <w:numId w:val="18"/>
        </w:numPr>
        <w:suppressAutoHyphens/>
        <w:jc w:val="both"/>
        <w:textAlignment w:val="baseline"/>
        <w:rPr>
          <w:sz w:val="20"/>
          <w:szCs w:val="20"/>
          <w:lang w:val="en-US"/>
        </w:rPr>
      </w:pPr>
      <w:r w:rsidRPr="00E43D9E">
        <w:rPr>
          <w:sz w:val="20"/>
          <w:szCs w:val="20"/>
          <w:lang w:val="en-US"/>
        </w:rPr>
        <w:t>Weather and visibility conditions;</w:t>
      </w:r>
    </w:p>
    <w:p w:rsidR="00281113" w:rsidRPr="00E43D9E" w:rsidRDefault="00281113" w:rsidP="00E43D9E">
      <w:pPr>
        <w:pStyle w:val="ListParagraph"/>
        <w:widowControl w:val="0"/>
        <w:numPr>
          <w:ilvl w:val="2"/>
          <w:numId w:val="18"/>
        </w:numPr>
        <w:suppressAutoHyphens/>
        <w:jc w:val="both"/>
        <w:textAlignment w:val="baseline"/>
        <w:rPr>
          <w:sz w:val="20"/>
          <w:szCs w:val="20"/>
          <w:lang w:val="en-US"/>
        </w:rPr>
      </w:pPr>
      <w:r w:rsidRPr="00E43D9E">
        <w:rPr>
          <w:sz w:val="20"/>
          <w:szCs w:val="20"/>
          <w:lang w:val="en-US"/>
        </w:rPr>
        <w:t>Density of traffic;</w:t>
      </w:r>
    </w:p>
    <w:p w:rsidR="00281113" w:rsidRPr="00E43D9E" w:rsidRDefault="00281113" w:rsidP="00E43D9E">
      <w:pPr>
        <w:pStyle w:val="ListParagraph"/>
        <w:widowControl w:val="0"/>
        <w:numPr>
          <w:ilvl w:val="2"/>
          <w:numId w:val="18"/>
        </w:numPr>
        <w:suppressAutoHyphens/>
        <w:jc w:val="both"/>
        <w:textAlignment w:val="baseline"/>
        <w:rPr>
          <w:sz w:val="20"/>
          <w:szCs w:val="20"/>
          <w:lang w:val="en-US"/>
        </w:rPr>
      </w:pPr>
      <w:r w:rsidRPr="00E43D9E">
        <w:rPr>
          <w:sz w:val="20"/>
          <w:szCs w:val="20"/>
          <w:lang w:val="en-US"/>
        </w:rPr>
        <w:t>Dangerousness of the cargo on board;</w:t>
      </w:r>
    </w:p>
    <w:p w:rsidR="00281113" w:rsidRPr="00722878" w:rsidRDefault="00281113" w:rsidP="00E43D9E">
      <w:pPr>
        <w:pStyle w:val="ListParagraph"/>
        <w:widowControl w:val="0"/>
        <w:numPr>
          <w:ilvl w:val="2"/>
          <w:numId w:val="18"/>
        </w:numPr>
        <w:suppressAutoHyphens/>
        <w:jc w:val="both"/>
        <w:textAlignment w:val="baseline"/>
        <w:rPr>
          <w:sz w:val="20"/>
          <w:szCs w:val="20"/>
        </w:rPr>
      </w:pPr>
      <w:r w:rsidRPr="00E43D9E">
        <w:rPr>
          <w:sz w:val="20"/>
          <w:szCs w:val="20"/>
          <w:lang w:val="en-US"/>
        </w:rPr>
        <w:t>Proximity of shallow waters;</w:t>
      </w:r>
    </w:p>
    <w:p w:rsidR="00281113" w:rsidRPr="00E43D9E" w:rsidRDefault="00281113" w:rsidP="00E43D9E">
      <w:pPr>
        <w:pStyle w:val="ListParagraph"/>
        <w:widowControl w:val="0"/>
        <w:numPr>
          <w:ilvl w:val="2"/>
          <w:numId w:val="18"/>
        </w:numPr>
        <w:suppressAutoHyphens/>
        <w:jc w:val="both"/>
        <w:textAlignment w:val="baseline"/>
        <w:rPr>
          <w:sz w:val="20"/>
          <w:szCs w:val="20"/>
          <w:lang w:val="en-US"/>
        </w:rPr>
      </w:pPr>
      <w:r w:rsidRPr="00722878">
        <w:rPr>
          <w:sz w:val="20"/>
          <w:szCs w:val="20"/>
        </w:rPr>
        <w:t>Manoeuvrability</w:t>
      </w:r>
      <w:r w:rsidRPr="00E43D9E">
        <w:rPr>
          <w:sz w:val="20"/>
          <w:szCs w:val="20"/>
          <w:lang w:val="en-US"/>
        </w:rPr>
        <w:t xml:space="preserve"> of the vessel;</w:t>
      </w:r>
    </w:p>
    <w:p w:rsidR="00281113" w:rsidRDefault="00281113" w:rsidP="00E43D9E">
      <w:pPr>
        <w:pStyle w:val="ListParagraph"/>
        <w:widowControl w:val="0"/>
        <w:numPr>
          <w:ilvl w:val="2"/>
          <w:numId w:val="18"/>
        </w:numPr>
        <w:suppressAutoHyphens/>
        <w:jc w:val="both"/>
        <w:textAlignment w:val="baseline"/>
        <w:rPr>
          <w:sz w:val="20"/>
          <w:szCs w:val="20"/>
          <w:lang w:val="en-US"/>
        </w:rPr>
      </w:pPr>
      <w:r w:rsidRPr="00E43D9E">
        <w:rPr>
          <w:sz w:val="20"/>
          <w:szCs w:val="20"/>
          <w:lang w:val="en-US"/>
        </w:rPr>
        <w:t>Etc…</w:t>
      </w:r>
      <w:bookmarkStart w:id="1" w:name="_Toc416947932"/>
    </w:p>
    <w:p w:rsidR="00281113" w:rsidRDefault="00281113" w:rsidP="00E43D9E">
      <w:pPr>
        <w:pStyle w:val="ListParagraph"/>
        <w:widowControl w:val="0"/>
        <w:suppressAutoHyphens/>
        <w:ind w:left="0"/>
        <w:jc w:val="both"/>
        <w:textAlignment w:val="baseline"/>
        <w:rPr>
          <w:sz w:val="20"/>
          <w:szCs w:val="20"/>
          <w:lang w:val="en-US"/>
        </w:rPr>
      </w:pPr>
    </w:p>
    <w:p w:rsidR="00281113" w:rsidRPr="00E43D9E" w:rsidRDefault="00281113" w:rsidP="00E43D9E">
      <w:pPr>
        <w:pStyle w:val="Heading2"/>
        <w:rPr>
          <w:lang w:val="en-US"/>
        </w:rPr>
      </w:pPr>
      <w:r w:rsidRPr="00E43D9E">
        <w:rPr>
          <w:lang w:val="en-GB"/>
        </w:rPr>
        <w:t>Required technical ability of VTS system for data recording</w:t>
      </w:r>
      <w:bookmarkEnd w:id="1"/>
      <w:r w:rsidRPr="00E43D9E">
        <w:rPr>
          <w:lang w:val="en-GB"/>
        </w:rPr>
        <w:t xml:space="preserve"> and storage</w:t>
      </w:r>
    </w:p>
    <w:p w:rsidR="00281113" w:rsidRPr="00E43D9E" w:rsidRDefault="00281113" w:rsidP="00F752BE">
      <w:pPr>
        <w:jc w:val="both"/>
        <w:rPr>
          <w:sz w:val="20"/>
          <w:szCs w:val="20"/>
          <w:lang w:val="en-US"/>
        </w:rPr>
      </w:pPr>
      <w:r>
        <w:rPr>
          <w:sz w:val="20"/>
          <w:szCs w:val="20"/>
          <w:lang w:val="en-US"/>
        </w:rPr>
        <w:t>In paragraph 3.2, t</w:t>
      </w:r>
      <w:r w:rsidRPr="00E43D9E">
        <w:rPr>
          <w:sz w:val="20"/>
          <w:szCs w:val="20"/>
          <w:lang w:val="en-US"/>
        </w:rPr>
        <w:t xml:space="preserve">he </w:t>
      </w:r>
      <w:r>
        <w:rPr>
          <w:sz w:val="20"/>
          <w:szCs w:val="20"/>
          <w:lang w:val="en-US"/>
        </w:rPr>
        <w:t xml:space="preserve">draft </w:t>
      </w:r>
      <w:r w:rsidRPr="00E43D9E">
        <w:rPr>
          <w:sz w:val="20"/>
          <w:szCs w:val="20"/>
          <w:lang w:val="en-US"/>
        </w:rPr>
        <w:t>guideline inc</w:t>
      </w:r>
      <w:r>
        <w:rPr>
          <w:sz w:val="20"/>
          <w:szCs w:val="20"/>
          <w:lang w:val="en-US"/>
        </w:rPr>
        <w:t>ludes two dispositions for VTSO</w:t>
      </w:r>
      <w:r w:rsidRPr="00E43D9E">
        <w:rPr>
          <w:sz w:val="20"/>
          <w:szCs w:val="20"/>
          <w:lang w:val="en-US"/>
        </w:rPr>
        <w:t>:</w:t>
      </w:r>
    </w:p>
    <w:p w:rsidR="00281113" w:rsidRDefault="00281113" w:rsidP="00F752BE">
      <w:pPr>
        <w:jc w:val="both"/>
        <w:rPr>
          <w:sz w:val="20"/>
          <w:szCs w:val="20"/>
          <w:lang w:val="en-US"/>
        </w:rPr>
      </w:pPr>
      <w:r w:rsidRPr="00E43D9E">
        <w:rPr>
          <w:sz w:val="20"/>
          <w:szCs w:val="20"/>
          <w:lang w:val="en-US"/>
        </w:rPr>
        <w:t>“ - Internal VTSO conversation recordings inside VTS Centre;</w:t>
      </w:r>
    </w:p>
    <w:p w:rsidR="00281113" w:rsidRDefault="00281113" w:rsidP="00F752BE">
      <w:pPr>
        <w:jc w:val="both"/>
        <w:rPr>
          <w:sz w:val="20"/>
          <w:szCs w:val="20"/>
          <w:lang w:val="en-US"/>
        </w:rPr>
      </w:pPr>
      <w:r>
        <w:rPr>
          <w:sz w:val="20"/>
          <w:szCs w:val="20"/>
          <w:lang w:val="en-US"/>
        </w:rPr>
        <w:t xml:space="preserve"> - </w:t>
      </w:r>
      <w:r w:rsidRPr="00E43D9E">
        <w:rPr>
          <w:sz w:val="20"/>
          <w:szCs w:val="20"/>
          <w:lang w:val="en-US"/>
        </w:rPr>
        <w:t>VTSO actions recordings (e.g. made by CCTV inside VTS Control Centre);”</w:t>
      </w:r>
    </w:p>
    <w:p w:rsidR="00281113" w:rsidRPr="00E43D9E" w:rsidRDefault="00281113" w:rsidP="00F752BE">
      <w:pPr>
        <w:jc w:val="both"/>
        <w:rPr>
          <w:sz w:val="20"/>
          <w:szCs w:val="20"/>
          <w:lang w:val="en-US"/>
        </w:rPr>
      </w:pPr>
    </w:p>
    <w:p w:rsidR="00281113" w:rsidRDefault="00281113" w:rsidP="00F752BE">
      <w:pPr>
        <w:jc w:val="both"/>
        <w:rPr>
          <w:sz w:val="20"/>
          <w:szCs w:val="20"/>
          <w:lang w:val="en-US"/>
        </w:rPr>
      </w:pPr>
      <w:r w:rsidRPr="00E43D9E">
        <w:rPr>
          <w:sz w:val="20"/>
          <w:szCs w:val="20"/>
          <w:lang w:val="en-US"/>
        </w:rPr>
        <w:t>This recommendation couldn’t be productive because in the event of an accident following compliance with VTS guidance “</w:t>
      </w:r>
      <w:r w:rsidRPr="00E43D9E">
        <w:rPr>
          <w:i/>
          <w:iCs/>
          <w:sz w:val="20"/>
          <w:szCs w:val="20"/>
          <w:lang w:val="en-US"/>
        </w:rPr>
        <w:t>The liability element of an accident following compliance with VTS guidance is an important consideration which can only be decided on a case-by-case basis in accordance with national law. Consequently, a VTS authority should take into account the legal implications in the event of a shipping accident where VTS operators may have failed to carry out their duty competently.</w:t>
      </w:r>
      <w:r w:rsidRPr="00E43D9E">
        <w:rPr>
          <w:sz w:val="20"/>
          <w:szCs w:val="20"/>
          <w:lang w:val="en-US"/>
        </w:rPr>
        <w:t>”(Resolution A.857(20) IMO Section 2.2.4).</w:t>
      </w:r>
    </w:p>
    <w:p w:rsidR="00281113" w:rsidRPr="00E43D9E" w:rsidRDefault="00281113" w:rsidP="00F752BE">
      <w:pPr>
        <w:jc w:val="both"/>
        <w:rPr>
          <w:sz w:val="20"/>
          <w:szCs w:val="20"/>
          <w:lang w:val="en-US"/>
        </w:rPr>
      </w:pPr>
    </w:p>
    <w:p w:rsidR="00281113" w:rsidRPr="00E43D9E" w:rsidRDefault="00281113" w:rsidP="00F752BE">
      <w:pPr>
        <w:jc w:val="both"/>
        <w:rPr>
          <w:sz w:val="20"/>
          <w:szCs w:val="20"/>
        </w:rPr>
      </w:pPr>
      <w:r w:rsidRPr="00E43D9E">
        <w:rPr>
          <w:sz w:val="20"/>
          <w:szCs w:val="20"/>
          <w:lang w:val="en-US"/>
        </w:rPr>
        <w:t xml:space="preserve">If national authority records their VTSO, VTSO could be scare to take measures to prevent the incident because their liability could be engaged by their actions. But VTSO action is very important to prevent an incident, even if the liability of the change of course returns to the master as it says in section 2.6.2 of Resolution A857(20) IMO </w:t>
      </w:r>
      <w:r w:rsidRPr="00E43D9E">
        <w:rPr>
          <w:i/>
          <w:iCs/>
          <w:sz w:val="20"/>
          <w:szCs w:val="20"/>
          <w:lang w:val="en-US"/>
        </w:rPr>
        <w:t>“Decisions concerning the actual navigation and the manoeuvring of the vessel remain with the master. Neither a VTS sailing plan, nor requested or agreed changes to the sailing plan can supersede the decisions of the master concerning the actual navigation and manoeuvring of the vessel.”.</w:t>
      </w:r>
    </w:p>
    <w:p w:rsidR="00281113" w:rsidRDefault="00281113" w:rsidP="00F752BE">
      <w:pPr>
        <w:jc w:val="both"/>
        <w:rPr>
          <w:sz w:val="20"/>
          <w:szCs w:val="20"/>
          <w:lang w:val="en-US"/>
        </w:rPr>
      </w:pPr>
      <w:r w:rsidRPr="00E43D9E">
        <w:rPr>
          <w:sz w:val="20"/>
          <w:szCs w:val="20"/>
          <w:lang w:val="en-US"/>
        </w:rPr>
        <w:t>“</w:t>
      </w:r>
      <w:r w:rsidRPr="00E43D9E">
        <w:rPr>
          <w:i/>
          <w:iCs/>
          <w:sz w:val="20"/>
          <w:szCs w:val="20"/>
          <w:lang w:val="en-US"/>
        </w:rPr>
        <w:t xml:space="preserve">[...]authorities must also keep in mind the importance of the human decision-making function[...]” </w:t>
      </w:r>
      <w:r w:rsidRPr="00E43D9E">
        <w:rPr>
          <w:sz w:val="20"/>
          <w:szCs w:val="20"/>
          <w:lang w:val="en-US"/>
        </w:rPr>
        <w:t xml:space="preserve">(Resolution A.857(20) Section 6.1 Note). </w:t>
      </w:r>
    </w:p>
    <w:p w:rsidR="00281113" w:rsidRPr="00E43D9E" w:rsidRDefault="00281113" w:rsidP="00F752BE">
      <w:pPr>
        <w:jc w:val="both"/>
        <w:rPr>
          <w:sz w:val="20"/>
          <w:szCs w:val="20"/>
          <w:lang w:val="en-US"/>
        </w:rPr>
      </w:pPr>
    </w:p>
    <w:p w:rsidR="00281113" w:rsidRDefault="00281113" w:rsidP="00282513">
      <w:pPr>
        <w:pStyle w:val="BodyText"/>
        <w:rPr>
          <w:lang w:val="en-US" w:eastAsia="en-GB"/>
        </w:rPr>
      </w:pPr>
      <w:r w:rsidRPr="003A7437">
        <w:rPr>
          <w:lang w:val="en-US" w:eastAsia="en-GB"/>
        </w:rPr>
        <w:t>If reporting includes recording of VTSOs decisions and actions, there would be a chance that VTSOs would not take every appropriate decisions to prevent an incident for they would be worried to see their liability engaged.</w:t>
      </w:r>
      <w:r>
        <w:rPr>
          <w:lang w:val="en-US" w:eastAsia="en-GB"/>
        </w:rPr>
        <w:t xml:space="preserve"> It is then proposed to remove this possibility from the guidelines for it is up to the decision of each VTS Authority to do so.</w:t>
      </w:r>
    </w:p>
    <w:p w:rsidR="00281113" w:rsidRDefault="00281113" w:rsidP="00282513">
      <w:pPr>
        <w:pStyle w:val="BodyText"/>
        <w:rPr>
          <w:lang w:val="en-US" w:eastAsia="en-GB"/>
        </w:rPr>
      </w:pPr>
    </w:p>
    <w:p w:rsidR="00281113" w:rsidRPr="00282513" w:rsidRDefault="00281113" w:rsidP="00282513">
      <w:pPr>
        <w:pStyle w:val="BodyText"/>
        <w:rPr>
          <w:b/>
          <w:bCs/>
          <w:lang w:val="en-GB"/>
        </w:rPr>
      </w:pPr>
      <w:r>
        <w:rPr>
          <w:b/>
          <w:bCs/>
          <w:lang w:val="en-US" w:eastAsia="en-GB"/>
        </w:rPr>
        <w:t>3.3</w:t>
      </w:r>
      <w:r>
        <w:rPr>
          <w:b/>
          <w:bCs/>
          <w:lang w:val="en-US" w:eastAsia="en-GB"/>
        </w:rPr>
        <w:tab/>
        <w:t>S</w:t>
      </w:r>
      <w:r w:rsidRPr="00282513">
        <w:rPr>
          <w:b/>
          <w:bCs/>
          <w:lang w:val="en-US" w:eastAsia="en-GB"/>
        </w:rPr>
        <w:t>torage of casualty, incident and near-miss</w:t>
      </w:r>
    </w:p>
    <w:p w:rsidR="00281113" w:rsidRDefault="00281113" w:rsidP="00BF32F0">
      <w:pPr>
        <w:rPr>
          <w:sz w:val="20"/>
          <w:szCs w:val="20"/>
        </w:rPr>
      </w:pPr>
      <w:r w:rsidRPr="00282513">
        <w:rPr>
          <w:sz w:val="20"/>
          <w:szCs w:val="20"/>
        </w:rPr>
        <w:t xml:space="preserve">It is suggested to mention </w:t>
      </w:r>
      <w:r>
        <w:rPr>
          <w:sz w:val="20"/>
          <w:szCs w:val="20"/>
        </w:rPr>
        <w:t xml:space="preserve">clearly </w:t>
      </w:r>
      <w:r w:rsidRPr="00282513">
        <w:rPr>
          <w:sz w:val="20"/>
          <w:szCs w:val="20"/>
        </w:rPr>
        <w:t>in paragraph 3.2 that there should be a procedure to store recordings to safeguard recorded data in case of a casualty, an incident or a near-miss.</w:t>
      </w:r>
    </w:p>
    <w:p w:rsidR="00281113" w:rsidRDefault="00281113" w:rsidP="00BF32F0">
      <w:pPr>
        <w:rPr>
          <w:sz w:val="20"/>
          <w:szCs w:val="20"/>
        </w:rPr>
      </w:pPr>
    </w:p>
    <w:p w:rsidR="00281113" w:rsidRPr="0020464B" w:rsidRDefault="00281113" w:rsidP="00BF32F0">
      <w:pPr>
        <w:rPr>
          <w:b/>
          <w:bCs/>
          <w:sz w:val="20"/>
          <w:szCs w:val="20"/>
        </w:rPr>
      </w:pPr>
      <w:r w:rsidRPr="0020464B">
        <w:rPr>
          <w:b/>
          <w:bCs/>
          <w:sz w:val="20"/>
          <w:szCs w:val="20"/>
        </w:rPr>
        <w:t>3.4</w:t>
      </w:r>
      <w:r w:rsidRPr="0020464B">
        <w:rPr>
          <w:b/>
          <w:bCs/>
          <w:sz w:val="20"/>
          <w:szCs w:val="20"/>
        </w:rPr>
        <w:tab/>
        <w:t>Addressing of the near-miss reports</w:t>
      </w:r>
    </w:p>
    <w:p w:rsidR="00281113" w:rsidRPr="00FD0F82" w:rsidRDefault="00281113" w:rsidP="0020464B">
      <w:pPr>
        <w:pStyle w:val="ListParagraph"/>
        <w:ind w:left="0"/>
        <w:jc w:val="both"/>
        <w:rPr>
          <w:sz w:val="20"/>
          <w:szCs w:val="20"/>
        </w:rPr>
      </w:pPr>
      <w:r w:rsidRPr="00FD0F82">
        <w:rPr>
          <w:rFonts w:eastAsia="MS Mincho"/>
          <w:sz w:val="20"/>
          <w:szCs w:val="20"/>
          <w:lang w:eastAsia="ja-JP"/>
        </w:rPr>
        <w:t xml:space="preserve">In paragraph 4.2.3, the guideline should be more accurate in the possibility to report a near-miss on a voluntary base. </w:t>
      </w:r>
      <w:r w:rsidRPr="00FD0F82">
        <w:rPr>
          <w:rStyle w:val="hps"/>
          <w:rFonts w:cs="Arial"/>
          <w:sz w:val="20"/>
          <w:szCs w:val="20"/>
        </w:rPr>
        <w:t xml:space="preserve">The example of covering letter in annex 3 is well adapted to the report of near-miss to a shipping company for it relates to the ISM Code requirements to report near-misses. But as near-misses reporting in ISM Code is an internal procedure, it is recommended to report near-miss externally </w:t>
      </w:r>
      <w:r w:rsidRPr="00FD0F82">
        <w:rPr>
          <w:rStyle w:val="hps"/>
          <w:rFonts w:cs="Arial"/>
          <w:sz w:val="20"/>
          <w:szCs w:val="20"/>
          <w:u w:val="single"/>
        </w:rPr>
        <w:t>only</w:t>
      </w:r>
      <w:r w:rsidRPr="00FD0F82">
        <w:rPr>
          <w:rStyle w:val="hps"/>
          <w:rFonts w:cs="Arial"/>
          <w:sz w:val="20"/>
          <w:szCs w:val="20"/>
        </w:rPr>
        <w:t xml:space="preserve"> to the shipping company of ships involved. </w:t>
      </w:r>
      <w:r>
        <w:rPr>
          <w:rStyle w:val="hps"/>
          <w:rFonts w:cs="Arial"/>
          <w:sz w:val="20"/>
          <w:szCs w:val="20"/>
        </w:rPr>
        <w:t>Because there is no international requirement to report near-miss, t</w:t>
      </w:r>
      <w:r w:rsidRPr="00FD0F82">
        <w:rPr>
          <w:rStyle w:val="hps"/>
          <w:rFonts w:cs="Arial"/>
          <w:sz w:val="20"/>
          <w:szCs w:val="20"/>
        </w:rPr>
        <w:t xml:space="preserve">his </w:t>
      </w:r>
      <w:r w:rsidRPr="00FD0F82">
        <w:rPr>
          <w:rStyle w:val="hps"/>
          <w:rFonts w:cs="Arial"/>
          <w:sz w:val="20"/>
          <w:szCs w:val="20"/>
        </w:rPr>
        <w:lastRenderedPageBreak/>
        <w:t xml:space="preserve">proposition would harmonize and simplify the near-miss reporting by VTS and avoid misunderstanding </w:t>
      </w:r>
      <w:r>
        <w:rPr>
          <w:rStyle w:val="hps"/>
          <w:rFonts w:cs="Arial"/>
          <w:sz w:val="20"/>
          <w:szCs w:val="20"/>
        </w:rPr>
        <w:t>on</w:t>
      </w:r>
      <w:r w:rsidRPr="00FD0F82">
        <w:rPr>
          <w:rStyle w:val="hps"/>
          <w:rFonts w:cs="Arial"/>
          <w:sz w:val="20"/>
          <w:szCs w:val="20"/>
        </w:rPr>
        <w:t xml:space="preserve"> the report by other stakeholders.</w:t>
      </w:r>
    </w:p>
    <w:p w:rsidR="00281113" w:rsidRDefault="00281113" w:rsidP="00180DDA">
      <w:pPr>
        <w:pStyle w:val="List1"/>
        <w:numPr>
          <w:ilvl w:val="0"/>
          <w:numId w:val="0"/>
        </w:numPr>
      </w:pPr>
    </w:p>
    <w:p w:rsidR="00281113" w:rsidRDefault="00281113" w:rsidP="00A446C9">
      <w:pPr>
        <w:pStyle w:val="Heading1"/>
      </w:pPr>
      <w:r>
        <w:t>References</w:t>
      </w:r>
    </w:p>
    <w:p w:rsidR="00281113" w:rsidRDefault="00281113" w:rsidP="00180DDA">
      <w:pPr>
        <w:pStyle w:val="References"/>
      </w:pPr>
      <w:r>
        <w:t>IMO Res.A. 857(20) guidances for VTS</w:t>
      </w:r>
    </w:p>
    <w:p w:rsidR="00281113" w:rsidRPr="00DB5627" w:rsidRDefault="00281113" w:rsidP="00A446C9">
      <w:pPr>
        <w:pStyle w:val="Heading1"/>
        <w:rPr>
          <w:lang w:val="en-GB"/>
        </w:rPr>
      </w:pPr>
      <w:r w:rsidRPr="00DB5627">
        <w:rPr>
          <w:lang w:val="en-GB"/>
        </w:rPr>
        <w:t>Action requested of the Committee</w:t>
      </w:r>
    </w:p>
    <w:p w:rsidR="00281113" w:rsidRPr="00001A97" w:rsidRDefault="00281113" w:rsidP="00A446C9">
      <w:pPr>
        <w:pStyle w:val="BodyText"/>
        <w:rPr>
          <w:lang w:val="en-GB"/>
        </w:rPr>
      </w:pPr>
      <w:r w:rsidRPr="00001A97">
        <w:rPr>
          <w:lang w:val="en-GB"/>
        </w:rPr>
        <w:t>The Commit</w:t>
      </w:r>
      <w:r>
        <w:rPr>
          <w:lang w:val="en-GB"/>
        </w:rPr>
        <w:t xml:space="preserve">tee is requested to: </w:t>
      </w:r>
    </w:p>
    <w:p w:rsidR="00281113" w:rsidRDefault="00281113" w:rsidP="00362CD9">
      <w:pPr>
        <w:pStyle w:val="List1"/>
        <w:numPr>
          <w:ilvl w:val="0"/>
          <w:numId w:val="16"/>
        </w:numPr>
      </w:pPr>
      <w:r>
        <w:t>Consider the above comments</w:t>
      </w:r>
    </w:p>
    <w:p w:rsidR="00281113" w:rsidRPr="00597FAE" w:rsidRDefault="00281113" w:rsidP="00362CD9">
      <w:pPr>
        <w:pStyle w:val="List1"/>
        <w:numPr>
          <w:ilvl w:val="0"/>
          <w:numId w:val="16"/>
        </w:numPr>
      </w:pPr>
      <w:r>
        <w:t>Consider the amendments to the draft guideline enclosed</w:t>
      </w:r>
    </w:p>
    <w:p w:rsidR="00281113" w:rsidRDefault="00281113" w:rsidP="00282513">
      <w:pPr>
        <w:pStyle w:val="List1"/>
      </w:pPr>
      <w:r>
        <w:t>Take action as appropriate for the final guideline</w:t>
      </w:r>
    </w:p>
    <w:p w:rsidR="00281113" w:rsidRPr="004D1D85" w:rsidRDefault="00281113" w:rsidP="00282513">
      <w:pPr>
        <w:pStyle w:val="AnnexHeading3"/>
        <w:numPr>
          <w:ilvl w:val="0"/>
          <w:numId w:val="0"/>
        </w:numPr>
        <w:rPr>
          <w:lang w:eastAsia="en-US"/>
        </w:rPr>
      </w:pPr>
    </w:p>
    <w:sectPr w:rsidR="00281113" w:rsidRPr="004D1D85" w:rsidSect="0082480E">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910" w:rsidRDefault="00862910" w:rsidP="00362CD9">
      <w:r>
        <w:separator/>
      </w:r>
    </w:p>
  </w:endnote>
  <w:endnote w:type="continuationSeparator" w:id="0">
    <w:p w:rsidR="00862910" w:rsidRDefault="0086291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113" w:rsidRDefault="00281113">
    <w:pPr>
      <w:pStyle w:val="Footer"/>
    </w:pPr>
    <w:r>
      <w:tab/>
    </w:r>
    <w:r w:rsidR="00862910">
      <w:fldChar w:fldCharType="begin"/>
    </w:r>
    <w:r w:rsidR="00862910">
      <w:instrText xml:space="preserve"> PAGE   \* MERGEFORMAT </w:instrText>
    </w:r>
    <w:r w:rsidR="00862910">
      <w:fldChar w:fldCharType="separate"/>
    </w:r>
    <w:r w:rsidR="00BB3A22">
      <w:rPr>
        <w:noProof/>
      </w:rPr>
      <w:t>1</w:t>
    </w:r>
    <w:r w:rsidR="00862910">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910" w:rsidRDefault="00862910" w:rsidP="00362CD9">
      <w:r>
        <w:separator/>
      </w:r>
    </w:p>
  </w:footnote>
  <w:footnote w:type="continuationSeparator" w:id="0">
    <w:p w:rsidR="00862910" w:rsidRDefault="00862910" w:rsidP="00362CD9">
      <w:r>
        <w:continuationSeparator/>
      </w:r>
    </w:p>
  </w:footnote>
  <w:footnote w:id="1">
    <w:p w:rsidR="00281113" w:rsidRPr="00263608" w:rsidRDefault="00281113">
      <w:pPr>
        <w:pStyle w:val="FootnoteText"/>
        <w:rPr>
          <w:lang w:val="en-GB"/>
        </w:rPr>
      </w:pPr>
      <w:r>
        <w:rPr>
          <w:rStyle w:val="FootnoteReference"/>
        </w:rPr>
        <w:footnoteRef/>
      </w:r>
      <w:r w:rsidRPr="00001A97">
        <w:rPr>
          <w:lang w:val="en-GB"/>
        </w:rPr>
        <w:t xml:space="preserve"> </w:t>
      </w:r>
      <w:r w:rsidRPr="00001A97">
        <w:rPr>
          <w:sz w:val="16"/>
          <w:szCs w:val="16"/>
          <w:lang w:val="en-GB"/>
        </w:rPr>
        <w:t>Input document number, to be assigned by the Committee Secretary</w:t>
      </w:r>
    </w:p>
  </w:footnote>
  <w:footnote w:id="2">
    <w:p w:rsidR="00281113" w:rsidRDefault="00281113">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Arial Bold" w:hint="default"/>
        <w:b/>
        <w:bCs/>
        <w:i w:val="0"/>
        <w:iCs w:val="0"/>
        <w:caps/>
        <w:smallCaps w:val="0"/>
        <w:strike w:val="0"/>
        <w:dstrike w:val="0"/>
        <w:outline w:val="0"/>
        <w:shadow w:val="0"/>
        <w:emboss w:val="0"/>
        <w:imprint w:val="0"/>
        <w:vanish w:val="0"/>
        <w:color w:val="auto"/>
        <w:spacing w:val="0"/>
        <w:w w:val="0"/>
        <w:kern w:val="0"/>
        <w:position w:val="0"/>
        <w:sz w:val="24"/>
        <w:szCs w:val="24"/>
        <w:u w:val="none"/>
        <w:effect w:val="none"/>
        <w:vertAlign w:val="baseli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Arial Bold" w:hint="default"/>
        <w:b/>
        <w:bCs/>
        <w:i w:val="0"/>
        <w:iCs w:val="0"/>
        <w:sz w:val="24"/>
        <w:szCs w:val="24"/>
      </w:rPr>
    </w:lvl>
    <w:lvl w:ilvl="1">
      <w:start w:val="1"/>
      <w:numFmt w:val="decimal"/>
      <w:pStyle w:val="AnnexHeading2"/>
      <w:lvlText w:val="%1.%2"/>
      <w:lvlJc w:val="left"/>
      <w:pPr>
        <w:tabs>
          <w:tab w:val="num" w:pos="851"/>
        </w:tabs>
        <w:ind w:left="851" w:hanging="851"/>
      </w:pPr>
      <w:rPr>
        <w:rFonts w:ascii="Arial Bold" w:hAnsi="Arial Bold" w:cs="Arial Bold" w:hint="default"/>
        <w:b/>
        <w:bCs/>
        <w:i w:val="0"/>
        <w:iCs w:val="0"/>
        <w:sz w:val="22"/>
        <w:szCs w:val="22"/>
      </w:rPr>
    </w:lvl>
    <w:lvl w:ilvl="2">
      <w:start w:val="1"/>
      <w:numFmt w:val="decimal"/>
      <w:pStyle w:val="AnnexHeading3"/>
      <w:lvlText w:val="%2.%3.%1"/>
      <w:lvlJc w:val="left"/>
      <w:pPr>
        <w:tabs>
          <w:tab w:val="num" w:pos="992"/>
        </w:tabs>
        <w:ind w:left="992" w:hanging="992"/>
      </w:pPr>
      <w:rPr>
        <w:rFonts w:ascii="Arial" w:hAnsi="Arial" w:cs="Arial" w:hint="default"/>
        <w:b w:val="0"/>
        <w:bCs w:val="0"/>
        <w:i w:val="0"/>
        <w:iCs w:val="0"/>
        <w:sz w:val="22"/>
        <w:szCs w:val="22"/>
      </w:rPr>
    </w:lvl>
    <w:lvl w:ilvl="3">
      <w:start w:val="1"/>
      <w:numFmt w:val="decimal"/>
      <w:pStyle w:val="Anne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Arial" w:hint="default"/>
        <w:b/>
        <w:bCs/>
        <w:i w:val="0"/>
        <w:iCs w:val="0"/>
        <w:sz w:val="24"/>
        <w:szCs w:val="24"/>
      </w:rPr>
    </w:lvl>
    <w:lvl w:ilvl="1">
      <w:start w:val="1"/>
      <w:numFmt w:val="decimal"/>
      <w:pStyle w:val="AppendixHeading2"/>
      <w:lvlText w:val="%1.%2"/>
      <w:lvlJc w:val="left"/>
      <w:pPr>
        <w:tabs>
          <w:tab w:val="num" w:pos="851"/>
        </w:tabs>
        <w:ind w:left="851" w:hanging="851"/>
      </w:pPr>
      <w:rPr>
        <w:rFonts w:ascii="Arial" w:hAnsi="Arial" w:cs="Arial" w:hint="default"/>
        <w:b/>
        <w:bCs/>
        <w:i w:val="0"/>
        <w:iCs w:val="0"/>
        <w:sz w:val="22"/>
        <w:szCs w:val="22"/>
      </w:rPr>
    </w:lvl>
    <w:lvl w:ilvl="2">
      <w:start w:val="1"/>
      <w:numFmt w:val="decimal"/>
      <w:pStyle w:val="AppendixHeading3"/>
      <w:lvlText w:val="%1.%2.%3"/>
      <w:lvlJc w:val="left"/>
      <w:pPr>
        <w:tabs>
          <w:tab w:val="num" w:pos="992"/>
        </w:tabs>
        <w:ind w:left="992" w:hanging="992"/>
      </w:pPr>
      <w:rPr>
        <w:rFonts w:ascii="Arial" w:hAnsi="Arial" w:cs="Arial" w:hint="default"/>
        <w:b w:val="0"/>
        <w:bCs w:val="0"/>
        <w:i w:val="0"/>
        <w:iCs w:val="0"/>
        <w:sz w:val="22"/>
        <w:szCs w:val="22"/>
      </w:rPr>
    </w:lvl>
    <w:lvl w:ilvl="3">
      <w:start w:val="1"/>
      <w:numFmt w:val="decimal"/>
      <w:pStyle w:val="Appendi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7E74E90"/>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nsid w:val="3E6B4F5D"/>
    <w:multiLevelType w:val="hybridMultilevel"/>
    <w:tmpl w:val="E932E71C"/>
    <w:lvl w:ilvl="0" w:tplc="E1C4E124">
      <w:start w:val="1"/>
      <w:numFmt w:val="decimal"/>
      <w:pStyle w:val="equation"/>
      <w:lvlText w:val="(equation %1)"/>
      <w:lvlJc w:val="right"/>
      <w:pPr>
        <w:ind w:left="8180" w:hanging="360"/>
      </w:pPr>
      <w:rPr>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900" w:hanging="360"/>
      </w:pPr>
    </w:lvl>
    <w:lvl w:ilvl="2" w:tplc="0809001B">
      <w:start w:val="1"/>
      <w:numFmt w:val="lowerRoman"/>
      <w:lvlText w:val="%3."/>
      <w:lvlJc w:val="right"/>
      <w:pPr>
        <w:ind w:left="9620" w:hanging="180"/>
      </w:pPr>
    </w:lvl>
    <w:lvl w:ilvl="3" w:tplc="0809000F">
      <w:start w:val="1"/>
      <w:numFmt w:val="decimal"/>
      <w:lvlText w:val="%4."/>
      <w:lvlJc w:val="left"/>
      <w:pPr>
        <w:ind w:left="10340" w:hanging="360"/>
      </w:pPr>
    </w:lvl>
    <w:lvl w:ilvl="4" w:tplc="08090019">
      <w:start w:val="1"/>
      <w:numFmt w:val="lowerLetter"/>
      <w:lvlText w:val="%5."/>
      <w:lvlJc w:val="left"/>
      <w:pPr>
        <w:ind w:left="11060" w:hanging="360"/>
      </w:pPr>
    </w:lvl>
    <w:lvl w:ilvl="5" w:tplc="0809001B">
      <w:start w:val="1"/>
      <w:numFmt w:val="lowerRoman"/>
      <w:lvlText w:val="%6."/>
      <w:lvlJc w:val="right"/>
      <w:pPr>
        <w:ind w:left="11780" w:hanging="180"/>
      </w:pPr>
    </w:lvl>
    <w:lvl w:ilvl="6" w:tplc="0809000F">
      <w:start w:val="1"/>
      <w:numFmt w:val="decimal"/>
      <w:lvlText w:val="%7."/>
      <w:lvlJc w:val="left"/>
      <w:pPr>
        <w:ind w:left="12500" w:hanging="360"/>
      </w:pPr>
    </w:lvl>
    <w:lvl w:ilvl="7" w:tplc="08090019">
      <w:start w:val="1"/>
      <w:numFmt w:val="lowerLetter"/>
      <w:lvlText w:val="%8."/>
      <w:lvlJc w:val="left"/>
      <w:pPr>
        <w:ind w:left="13220" w:hanging="360"/>
      </w:pPr>
    </w:lvl>
    <w:lvl w:ilvl="8" w:tplc="0809001B">
      <w:start w:val="1"/>
      <w:numFmt w:val="lowerRoman"/>
      <w:lvlText w:val="%9."/>
      <w:lvlJc w:val="right"/>
      <w:pPr>
        <w:ind w:left="13940" w:hanging="180"/>
      </w:pPr>
    </w:lvl>
  </w:abstractNum>
  <w:abstractNum w:abstractNumId="8">
    <w:nsid w:val="44041789"/>
    <w:multiLevelType w:val="multilevel"/>
    <w:tmpl w:val="1622765C"/>
    <w:lvl w:ilvl="0">
      <w:start w:val="1"/>
      <w:numFmt w:val="decimal"/>
      <w:pStyle w:val="List1"/>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7606B16"/>
    <w:multiLevelType w:val="multilevel"/>
    <w:tmpl w:val="040C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479B424D"/>
    <w:multiLevelType w:val="hybridMultilevel"/>
    <w:tmpl w:val="FA4A8BFE"/>
    <w:lvl w:ilvl="0" w:tplc="1C6A7210">
      <w:start w:val="1"/>
      <w:numFmt w:val="bullet"/>
      <w:pStyle w:val="Bullet3"/>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A8C31DD"/>
    <w:multiLevelType w:val="hybridMultilevel"/>
    <w:tmpl w:val="46EC3D80"/>
    <w:lvl w:ilvl="0" w:tplc="D0D2BED8">
      <w:start w:val="1"/>
      <w:numFmt w:val="bullet"/>
      <w:pStyle w:val="Bullet2"/>
      <w:lvlText w:val="-"/>
      <w:lvlJc w:val="left"/>
      <w:pPr>
        <w:ind w:left="2421" w:hanging="360"/>
      </w:pPr>
      <w:rPr>
        <w:rFonts w:ascii="Arial" w:hAnsi="Arial" w:cs="Aria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cs="Wingdings" w:hint="default"/>
      </w:rPr>
    </w:lvl>
    <w:lvl w:ilvl="3" w:tplc="08090001">
      <w:start w:val="1"/>
      <w:numFmt w:val="bullet"/>
      <w:lvlText w:val=""/>
      <w:lvlJc w:val="left"/>
      <w:pPr>
        <w:ind w:left="4581" w:hanging="360"/>
      </w:pPr>
      <w:rPr>
        <w:rFonts w:ascii="Symbol" w:hAnsi="Symbol" w:cs="Symbol" w:hint="default"/>
      </w:rPr>
    </w:lvl>
    <w:lvl w:ilvl="4" w:tplc="08090003">
      <w:start w:val="1"/>
      <w:numFmt w:val="bullet"/>
      <w:lvlText w:val="o"/>
      <w:lvlJc w:val="left"/>
      <w:pPr>
        <w:ind w:left="5301" w:hanging="360"/>
      </w:pPr>
      <w:rPr>
        <w:rFonts w:ascii="Courier New" w:hAnsi="Courier New" w:cs="Courier New" w:hint="default"/>
      </w:rPr>
    </w:lvl>
    <w:lvl w:ilvl="5" w:tplc="08090005">
      <w:start w:val="1"/>
      <w:numFmt w:val="bullet"/>
      <w:lvlText w:val=""/>
      <w:lvlJc w:val="left"/>
      <w:pPr>
        <w:ind w:left="6021" w:hanging="360"/>
      </w:pPr>
      <w:rPr>
        <w:rFonts w:ascii="Wingdings" w:hAnsi="Wingdings" w:cs="Wingdings" w:hint="default"/>
      </w:rPr>
    </w:lvl>
    <w:lvl w:ilvl="6" w:tplc="08090001">
      <w:start w:val="1"/>
      <w:numFmt w:val="bullet"/>
      <w:lvlText w:val=""/>
      <w:lvlJc w:val="left"/>
      <w:pPr>
        <w:ind w:left="6741" w:hanging="360"/>
      </w:pPr>
      <w:rPr>
        <w:rFonts w:ascii="Symbol" w:hAnsi="Symbol" w:cs="Symbol" w:hint="default"/>
      </w:rPr>
    </w:lvl>
    <w:lvl w:ilvl="7" w:tplc="08090003">
      <w:start w:val="1"/>
      <w:numFmt w:val="bullet"/>
      <w:lvlText w:val="o"/>
      <w:lvlJc w:val="left"/>
      <w:pPr>
        <w:ind w:left="7461" w:hanging="360"/>
      </w:pPr>
      <w:rPr>
        <w:rFonts w:ascii="Courier New" w:hAnsi="Courier New" w:cs="Courier New" w:hint="default"/>
      </w:rPr>
    </w:lvl>
    <w:lvl w:ilvl="8" w:tplc="08090005">
      <w:start w:val="1"/>
      <w:numFmt w:val="bullet"/>
      <w:lvlText w:val=""/>
      <w:lvlJc w:val="left"/>
      <w:pPr>
        <w:ind w:left="8181" w:hanging="360"/>
      </w:pPr>
      <w:rPr>
        <w:rFonts w:ascii="Wingdings" w:hAnsi="Wingdings" w:cs="Wingdings" w:hint="default"/>
      </w:rPr>
    </w:lvl>
  </w:abstractNum>
  <w:abstractNum w:abstractNumId="13">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48503D"/>
    <w:multiLevelType w:val="multilevel"/>
    <w:tmpl w:val="FFFFFFF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60585238"/>
    <w:multiLevelType w:val="multilevel"/>
    <w:tmpl w:val="98F0A0DE"/>
    <w:lvl w:ilvl="0">
      <w:start w:val="1"/>
      <w:numFmt w:val="upperLetter"/>
      <w:pStyle w:val="Annex"/>
      <w:lvlText w:val="ANNEX %1"/>
      <w:lvlJc w:val="left"/>
      <w:pPr>
        <w:ind w:left="360" w:hanging="360"/>
      </w:pPr>
      <w:rPr>
        <w:rFonts w:ascii="Arial Bold" w:hAnsi="Arial Bold" w:cs="Arial Bold" w:hint="default"/>
        <w:b/>
        <w:bCs/>
        <w:i w:val="0"/>
        <w:iCs w:val="0"/>
        <w:caps w:val="0"/>
        <w:smallCaps w:val="0"/>
        <w:strike w:val="0"/>
        <w:dstrike w:val="0"/>
        <w:vanish w:val="0"/>
        <w:color w:val="000000"/>
        <w:spacing w:val="0"/>
        <w:kern w:val="0"/>
        <w:position w:val="0"/>
        <w:sz w:val="24"/>
        <w:szCs w:val="24"/>
        <w:u w:val="none"/>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18">
    <w:nsid w:val="679F1069"/>
    <w:multiLevelType w:val="multilevel"/>
    <w:tmpl w:val="FFFFFFFF"/>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6"/>
  </w:num>
  <w:num w:numId="2">
    <w:abstractNumId w:val="11"/>
  </w:num>
  <w:num w:numId="3">
    <w:abstractNumId w:val="1"/>
  </w:num>
  <w:num w:numId="4">
    <w:abstractNumId w:val="19"/>
  </w:num>
  <w:num w:numId="5">
    <w:abstractNumId w:val="5"/>
  </w:num>
  <w:num w:numId="6">
    <w:abstractNumId w:val="4"/>
  </w:num>
  <w:num w:numId="7">
    <w:abstractNumId w:val="13"/>
  </w:num>
  <w:num w:numId="8">
    <w:abstractNumId w:val="12"/>
  </w:num>
  <w:num w:numId="9">
    <w:abstractNumId w:val="17"/>
  </w:num>
  <w:num w:numId="10">
    <w:abstractNumId w:val="3"/>
  </w:num>
  <w:num w:numId="11">
    <w:abstractNumId w:val="14"/>
  </w:num>
  <w:num w:numId="12">
    <w:abstractNumId w:val="8"/>
  </w:num>
  <w:num w:numId="13">
    <w:abstractNumId w:val="7"/>
  </w:num>
  <w:num w:numId="14">
    <w:abstractNumId w:val="2"/>
  </w:num>
  <w:num w:numId="15">
    <w:abstractNumId w:val="10"/>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5"/>
  </w:num>
  <w:num w:numId="19">
    <w:abstractNumId w:val="18"/>
  </w:num>
  <w:num w:numId="20">
    <w:abstractNumId w:val="9"/>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displayBackgroundShape/>
  <w:embedSystemFonts/>
  <w:doNotTrackMoves/>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5674"/>
    <w:rsid w:val="000005D3"/>
    <w:rsid w:val="00001A97"/>
    <w:rsid w:val="0001453A"/>
    <w:rsid w:val="00037DF4"/>
    <w:rsid w:val="0004700E"/>
    <w:rsid w:val="00070C13"/>
    <w:rsid w:val="00084F33"/>
    <w:rsid w:val="000A77A7"/>
    <w:rsid w:val="000B1707"/>
    <w:rsid w:val="000C1B3E"/>
    <w:rsid w:val="00153CB4"/>
    <w:rsid w:val="00177F4D"/>
    <w:rsid w:val="00180DDA"/>
    <w:rsid w:val="001B2A2D"/>
    <w:rsid w:val="001B737D"/>
    <w:rsid w:val="001C3C6B"/>
    <w:rsid w:val="001C44A3"/>
    <w:rsid w:val="001E0E15"/>
    <w:rsid w:val="001F528A"/>
    <w:rsid w:val="001F704E"/>
    <w:rsid w:val="00202FC3"/>
    <w:rsid w:val="0020464B"/>
    <w:rsid w:val="002125B0"/>
    <w:rsid w:val="00230F06"/>
    <w:rsid w:val="00243228"/>
    <w:rsid w:val="00245A91"/>
    <w:rsid w:val="00251483"/>
    <w:rsid w:val="00255CAA"/>
    <w:rsid w:val="00263608"/>
    <w:rsid w:val="00264305"/>
    <w:rsid w:val="00281113"/>
    <w:rsid w:val="00282513"/>
    <w:rsid w:val="002A0346"/>
    <w:rsid w:val="002A0813"/>
    <w:rsid w:val="002A4487"/>
    <w:rsid w:val="002B49E9"/>
    <w:rsid w:val="002D3E8B"/>
    <w:rsid w:val="002D4575"/>
    <w:rsid w:val="002D5C0C"/>
    <w:rsid w:val="002E03D1"/>
    <w:rsid w:val="002E6B74"/>
    <w:rsid w:val="002E6FCA"/>
    <w:rsid w:val="00337560"/>
    <w:rsid w:val="00356CD0"/>
    <w:rsid w:val="00362CD9"/>
    <w:rsid w:val="003761CA"/>
    <w:rsid w:val="00380DAF"/>
    <w:rsid w:val="003A7437"/>
    <w:rsid w:val="003B28F5"/>
    <w:rsid w:val="003B7B7D"/>
    <w:rsid w:val="003C54CB"/>
    <w:rsid w:val="003C7A2A"/>
    <w:rsid w:val="003D2DC1"/>
    <w:rsid w:val="003D4829"/>
    <w:rsid w:val="003D69D0"/>
    <w:rsid w:val="003F09F0"/>
    <w:rsid w:val="003F2918"/>
    <w:rsid w:val="003F430E"/>
    <w:rsid w:val="0041088C"/>
    <w:rsid w:val="00420A38"/>
    <w:rsid w:val="00431B19"/>
    <w:rsid w:val="004661AD"/>
    <w:rsid w:val="004802D8"/>
    <w:rsid w:val="004A0A8B"/>
    <w:rsid w:val="004D1D85"/>
    <w:rsid w:val="004D3C3A"/>
    <w:rsid w:val="004E1CD1"/>
    <w:rsid w:val="005107EB"/>
    <w:rsid w:val="00521345"/>
    <w:rsid w:val="00526DF0"/>
    <w:rsid w:val="00545CC4"/>
    <w:rsid w:val="00546B9A"/>
    <w:rsid w:val="00551FFF"/>
    <w:rsid w:val="005607A2"/>
    <w:rsid w:val="0057198B"/>
    <w:rsid w:val="0058057A"/>
    <w:rsid w:val="00597FAE"/>
    <w:rsid w:val="005B32A3"/>
    <w:rsid w:val="005C0D44"/>
    <w:rsid w:val="005C566C"/>
    <w:rsid w:val="005C7E69"/>
    <w:rsid w:val="005E262D"/>
    <w:rsid w:val="005F23D3"/>
    <w:rsid w:val="005F7E20"/>
    <w:rsid w:val="006112BC"/>
    <w:rsid w:val="00635DD6"/>
    <w:rsid w:val="00663605"/>
    <w:rsid w:val="006652C3"/>
    <w:rsid w:val="00691FD0"/>
    <w:rsid w:val="00692148"/>
    <w:rsid w:val="006C5948"/>
    <w:rsid w:val="006E0D29"/>
    <w:rsid w:val="006E13C2"/>
    <w:rsid w:val="006F2A74"/>
    <w:rsid w:val="007118F5"/>
    <w:rsid w:val="00712AA4"/>
    <w:rsid w:val="00721AA1"/>
    <w:rsid w:val="00722878"/>
    <w:rsid w:val="00724B67"/>
    <w:rsid w:val="007547F8"/>
    <w:rsid w:val="00765622"/>
    <w:rsid w:val="00770B6C"/>
    <w:rsid w:val="00783FEA"/>
    <w:rsid w:val="00791E34"/>
    <w:rsid w:val="007B0366"/>
    <w:rsid w:val="0080294B"/>
    <w:rsid w:val="0082480E"/>
    <w:rsid w:val="00850293"/>
    <w:rsid w:val="00851373"/>
    <w:rsid w:val="00851BA6"/>
    <w:rsid w:val="0085654D"/>
    <w:rsid w:val="00861160"/>
    <w:rsid w:val="00862910"/>
    <w:rsid w:val="0086654F"/>
    <w:rsid w:val="00874E11"/>
    <w:rsid w:val="008A356F"/>
    <w:rsid w:val="008A4653"/>
    <w:rsid w:val="008A4717"/>
    <w:rsid w:val="008A50CC"/>
    <w:rsid w:val="008D1694"/>
    <w:rsid w:val="008D79CB"/>
    <w:rsid w:val="008F07BC"/>
    <w:rsid w:val="0092692B"/>
    <w:rsid w:val="00943E9C"/>
    <w:rsid w:val="00953F4D"/>
    <w:rsid w:val="00960BB8"/>
    <w:rsid w:val="00964F5C"/>
    <w:rsid w:val="009831C0"/>
    <w:rsid w:val="009F1B5E"/>
    <w:rsid w:val="00A0389B"/>
    <w:rsid w:val="00A446C9"/>
    <w:rsid w:val="00A635D6"/>
    <w:rsid w:val="00A8553A"/>
    <w:rsid w:val="00A93AED"/>
    <w:rsid w:val="00B15B24"/>
    <w:rsid w:val="00B226F2"/>
    <w:rsid w:val="00B274DF"/>
    <w:rsid w:val="00B56BDF"/>
    <w:rsid w:val="00B604D5"/>
    <w:rsid w:val="00B65812"/>
    <w:rsid w:val="00B77474"/>
    <w:rsid w:val="00B85CD6"/>
    <w:rsid w:val="00B90A27"/>
    <w:rsid w:val="00B9554D"/>
    <w:rsid w:val="00BA7D89"/>
    <w:rsid w:val="00BB2B9F"/>
    <w:rsid w:val="00BB3A22"/>
    <w:rsid w:val="00BB7D9E"/>
    <w:rsid w:val="00BD3CB8"/>
    <w:rsid w:val="00BD4E6F"/>
    <w:rsid w:val="00BF32F0"/>
    <w:rsid w:val="00BF4DCE"/>
    <w:rsid w:val="00C05CE5"/>
    <w:rsid w:val="00C6171E"/>
    <w:rsid w:val="00CA6F2C"/>
    <w:rsid w:val="00CF1871"/>
    <w:rsid w:val="00D1133E"/>
    <w:rsid w:val="00D17A34"/>
    <w:rsid w:val="00D26628"/>
    <w:rsid w:val="00D332B3"/>
    <w:rsid w:val="00D55207"/>
    <w:rsid w:val="00D56973"/>
    <w:rsid w:val="00D92B45"/>
    <w:rsid w:val="00D95962"/>
    <w:rsid w:val="00DB5627"/>
    <w:rsid w:val="00DC389B"/>
    <w:rsid w:val="00DE2FEE"/>
    <w:rsid w:val="00E00BE9"/>
    <w:rsid w:val="00E22A11"/>
    <w:rsid w:val="00E31E5C"/>
    <w:rsid w:val="00E43D9E"/>
    <w:rsid w:val="00E558C3"/>
    <w:rsid w:val="00E55927"/>
    <w:rsid w:val="00E9040A"/>
    <w:rsid w:val="00E912A6"/>
    <w:rsid w:val="00EA4844"/>
    <w:rsid w:val="00EA4D9C"/>
    <w:rsid w:val="00EA5A97"/>
    <w:rsid w:val="00EB75EE"/>
    <w:rsid w:val="00EE4C1D"/>
    <w:rsid w:val="00EF3685"/>
    <w:rsid w:val="00F159EB"/>
    <w:rsid w:val="00F15DEA"/>
    <w:rsid w:val="00F25BF4"/>
    <w:rsid w:val="00F267DB"/>
    <w:rsid w:val="00F46F6F"/>
    <w:rsid w:val="00F60608"/>
    <w:rsid w:val="00F62217"/>
    <w:rsid w:val="00F752BE"/>
    <w:rsid w:val="00F8454E"/>
    <w:rsid w:val="00FB17A9"/>
    <w:rsid w:val="00FB527C"/>
    <w:rsid w:val="00FB6F75"/>
    <w:rsid w:val="00FC0EB3"/>
    <w:rsid w:val="00FD0F82"/>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A9"/>
    <w:rPr>
      <w:rFonts w:ascii="Arial" w:hAnsi="Arial" w:cs="Arial"/>
      <w:sz w:val="22"/>
      <w:szCs w:val="22"/>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b/>
      <w:bCs/>
      <w:caps/>
      <w:kern w:val="28"/>
      <w:sz w:val="24"/>
      <w:szCs w:val="24"/>
      <w:lang w:val="fr-FR"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b/>
      <w:bCs/>
      <w:sz w:val="20"/>
      <w:szCs w:val="20"/>
      <w:lang w:val="fr-FR"/>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sz w:val="20"/>
      <w:szCs w:val="20"/>
      <w:lang w:val="fr-FR"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5654D"/>
    <w:rPr>
      <w:rFonts w:ascii="Arial" w:hAnsi="Arial" w:cs="Arial"/>
      <w:b/>
      <w:bCs/>
      <w:caps/>
      <w:kern w:val="28"/>
      <w:sz w:val="24"/>
      <w:szCs w:val="24"/>
      <w:lang w:val="fr-FR" w:eastAsia="de-DE"/>
    </w:rPr>
  </w:style>
  <w:style w:type="character" w:customStyle="1" w:styleId="Heading2Char">
    <w:name w:val="Heading 2 Char"/>
    <w:link w:val="Heading2"/>
    <w:uiPriority w:val="99"/>
    <w:locked/>
    <w:rsid w:val="00E00BE9"/>
    <w:rPr>
      <w:rFonts w:ascii="Arial" w:hAnsi="Arial" w:cs="Arial"/>
      <w:b/>
      <w:bCs/>
      <w:lang w:val="fr-FR" w:eastAsia="en-GB"/>
    </w:rPr>
  </w:style>
  <w:style w:type="character" w:customStyle="1" w:styleId="Heading3Char">
    <w:name w:val="Heading 3 Char"/>
    <w:link w:val="Heading3"/>
    <w:uiPriority w:val="99"/>
    <w:locked/>
    <w:rsid w:val="00E00BE9"/>
    <w:rPr>
      <w:rFonts w:ascii="Arial" w:hAnsi="Arial" w:cs="Arial"/>
      <w:lang w:val="fr-FR" w:eastAsia="de-DE"/>
    </w:rPr>
  </w:style>
  <w:style w:type="character" w:customStyle="1" w:styleId="Heading4Char">
    <w:name w:val="Heading 4 Char"/>
    <w:link w:val="Heading4"/>
    <w:uiPriority w:val="99"/>
    <w:locked/>
    <w:rsid w:val="00E00BE9"/>
    <w:rPr>
      <w:rFonts w:ascii="Arial" w:hAnsi="Arial" w:cs="Arial"/>
      <w:lang w:val="en-US" w:eastAsia="de-DE"/>
    </w:rPr>
  </w:style>
  <w:style w:type="character" w:customStyle="1" w:styleId="Heading5Char">
    <w:name w:val="Heading 5 Char"/>
    <w:link w:val="Heading5"/>
    <w:uiPriority w:val="99"/>
    <w:locked/>
    <w:rsid w:val="00D332B3"/>
    <w:rPr>
      <w:rFonts w:ascii="Arial" w:hAnsi="Arial" w:cs="Arial"/>
      <w:lang w:val="de-DE" w:eastAsia="de-DE"/>
    </w:rPr>
  </w:style>
  <w:style w:type="character" w:customStyle="1" w:styleId="Heading6Char">
    <w:name w:val="Heading 6 Char"/>
    <w:link w:val="Heading6"/>
    <w:uiPriority w:val="99"/>
    <w:locked/>
    <w:rsid w:val="00E00BE9"/>
    <w:rPr>
      <w:rFonts w:ascii="Arial" w:hAnsi="Arial" w:cs="Arial"/>
      <w:lang w:val="de-DE" w:eastAsia="de-DE"/>
    </w:rPr>
  </w:style>
  <w:style w:type="character" w:customStyle="1" w:styleId="Heading7Char">
    <w:name w:val="Heading 7 Char"/>
    <w:link w:val="Heading7"/>
    <w:uiPriority w:val="99"/>
    <w:locked/>
    <w:rsid w:val="00E00BE9"/>
    <w:rPr>
      <w:rFonts w:ascii="Arial" w:hAnsi="Arial" w:cs="Arial"/>
      <w:lang w:val="de-DE" w:eastAsia="de-DE"/>
    </w:rPr>
  </w:style>
  <w:style w:type="character" w:customStyle="1" w:styleId="Heading8Char">
    <w:name w:val="Heading 8 Char"/>
    <w:link w:val="Heading8"/>
    <w:uiPriority w:val="99"/>
    <w:locked/>
    <w:rsid w:val="00E00BE9"/>
    <w:rPr>
      <w:rFonts w:ascii="Arial" w:hAnsi="Arial" w:cs="Arial"/>
      <w:lang w:val="de-DE" w:eastAsia="de-DE"/>
    </w:rPr>
  </w:style>
  <w:style w:type="character" w:customStyle="1" w:styleId="Heading9Char">
    <w:name w:val="Heading 9 Char"/>
    <w:link w:val="Heading9"/>
    <w:uiPriority w:val="99"/>
    <w:locked/>
    <w:rsid w:val="00E00BE9"/>
    <w:rPr>
      <w:rFonts w:ascii="Arial" w:hAnsi="Arial" w:cs="Arial"/>
      <w:lang w:val="de-DE" w:eastAsia="de-DE"/>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iCs/>
    </w:rPr>
  </w:style>
  <w:style w:type="paragraph" w:customStyle="1" w:styleId="AnnexHeading1">
    <w:name w:val="Annex Heading 1"/>
    <w:basedOn w:val="Normal"/>
    <w:next w:val="BodyText"/>
    <w:uiPriority w:val="99"/>
    <w:rsid w:val="008D1694"/>
    <w:pPr>
      <w:numPr>
        <w:numId w:val="3"/>
      </w:numPr>
      <w:spacing w:before="120" w:after="120"/>
    </w:pPr>
    <w:rPr>
      <w:b/>
      <w:bCs/>
      <w:caps/>
      <w:sz w:val="24"/>
      <w:szCs w:val="24"/>
    </w:rPr>
  </w:style>
  <w:style w:type="paragraph" w:customStyle="1" w:styleId="AnnexHeading2">
    <w:name w:val="Annex Heading 2"/>
    <w:basedOn w:val="Normal"/>
    <w:next w:val="BodyText"/>
    <w:uiPriority w:val="99"/>
    <w:rsid w:val="008D1694"/>
    <w:pPr>
      <w:numPr>
        <w:ilvl w:val="1"/>
        <w:numId w:val="3"/>
      </w:numPr>
      <w:spacing w:before="120" w:after="120"/>
    </w:pPr>
    <w:rPr>
      <w:b/>
      <w:bCs/>
    </w:rPr>
  </w:style>
  <w:style w:type="paragraph" w:customStyle="1" w:styleId="AnnexHeading3">
    <w:name w:val="Annex Heading 3"/>
    <w:basedOn w:val="Normal"/>
    <w:next w:val="Normal"/>
    <w:uiPriority w:val="99"/>
    <w:rsid w:val="008D1694"/>
    <w:pPr>
      <w:numPr>
        <w:ilvl w:val="2"/>
        <w:numId w:val="3"/>
      </w:numPr>
      <w:spacing w:before="120" w:after="120"/>
    </w:pPr>
  </w:style>
  <w:style w:type="paragraph" w:customStyle="1" w:styleId="AnnexHeading4">
    <w:name w:val="Annex Heading 4"/>
    <w:basedOn w:val="Normal"/>
    <w:next w:val="BodyText"/>
    <w:uiPriority w:val="99"/>
    <w:rsid w:val="008D1694"/>
    <w:pPr>
      <w:numPr>
        <w:ilvl w:val="3"/>
        <w:numId w:val="3"/>
      </w:numPr>
      <w:spacing w:before="120" w:after="120"/>
    </w:p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iCs/>
    </w:rPr>
  </w:style>
  <w:style w:type="paragraph" w:styleId="BodyText">
    <w:name w:val="Body Text"/>
    <w:basedOn w:val="Normal"/>
    <w:link w:val="BodyTextChar"/>
    <w:uiPriority w:val="99"/>
    <w:rsid w:val="008D1694"/>
    <w:pPr>
      <w:spacing w:after="120"/>
      <w:jc w:val="both"/>
    </w:pPr>
    <w:rPr>
      <w:sz w:val="20"/>
      <w:szCs w:val="20"/>
      <w:lang w:val="fr-FR" w:eastAsia="fr-FR"/>
    </w:rPr>
  </w:style>
  <w:style w:type="character" w:customStyle="1" w:styleId="BodyTextChar">
    <w:name w:val="Body Text Char"/>
    <w:link w:val="BodyText"/>
    <w:uiPriority w:val="99"/>
    <w:locked/>
    <w:rsid w:val="00E00BE9"/>
    <w:rPr>
      <w:rFonts w:ascii="Arial" w:hAnsi="Arial" w:cs="Arial"/>
      <w:sz w:val="24"/>
      <w:szCs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lang w:eastAsia="de-DE"/>
    </w:rPr>
  </w:style>
  <w:style w:type="paragraph" w:customStyle="1" w:styleId="Bullet1text">
    <w:name w:val="Bullet 1 text"/>
    <w:basedOn w:val="Normal"/>
    <w:uiPriority w:val="99"/>
    <w:rsid w:val="008D1694"/>
    <w:pPr>
      <w:suppressAutoHyphens/>
      <w:spacing w:after="120"/>
      <w:ind w:left="1134"/>
      <w:jc w:val="both"/>
    </w:pPr>
    <w:rPr>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style>
  <w:style w:type="paragraph" w:customStyle="1" w:styleId="Bullet2text">
    <w:name w:val="Bullet 2 text"/>
    <w:basedOn w:val="Normal"/>
    <w:uiPriority w:val="99"/>
    <w:rsid w:val="008D1694"/>
    <w:pPr>
      <w:suppressAutoHyphens/>
      <w:spacing w:after="120"/>
      <w:ind w:left="1701"/>
      <w:jc w:val="both"/>
    </w:pPr>
  </w:style>
  <w:style w:type="paragraph" w:customStyle="1" w:styleId="Bullet3">
    <w:name w:val="Bullet 3"/>
    <w:basedOn w:val="Normal"/>
    <w:uiPriority w:val="99"/>
    <w:rsid w:val="00CF1871"/>
    <w:pPr>
      <w:numPr>
        <w:numId w:val="15"/>
      </w:numPr>
      <w:tabs>
        <w:tab w:val="left" w:pos="2268"/>
      </w:tabs>
      <w:spacing w:after="60"/>
      <w:ind w:left="2268" w:hanging="567"/>
      <w:jc w:val="both"/>
    </w:pPr>
    <w:rPr>
      <w:sz w:val="20"/>
      <w:szCs w:val="20"/>
    </w:rPr>
  </w:style>
  <w:style w:type="paragraph" w:customStyle="1" w:styleId="Bullet3text">
    <w:name w:val="Bullet 3 text"/>
    <w:basedOn w:val="Normal"/>
    <w:uiPriority w:val="99"/>
    <w:rsid w:val="008D1694"/>
    <w:pPr>
      <w:suppressAutoHyphens/>
      <w:spacing w:after="60"/>
      <w:ind w:left="2268"/>
    </w:pPr>
    <w:rPr>
      <w:sz w:val="20"/>
      <w:szCs w:val="20"/>
    </w:rPr>
  </w:style>
  <w:style w:type="paragraph" w:customStyle="1" w:styleId="Figure">
    <w:name w:val="Figure_#"/>
    <w:basedOn w:val="Normal"/>
    <w:next w:val="Normal"/>
    <w:uiPriority w:val="99"/>
    <w:rsid w:val="008D1694"/>
    <w:pPr>
      <w:numPr>
        <w:numId w:val="9"/>
      </w:numPr>
      <w:spacing w:before="120" w:after="120"/>
      <w:jc w:val="center"/>
    </w:pPr>
    <w:rPr>
      <w:i/>
      <w:iCs/>
    </w:rPr>
  </w:style>
  <w:style w:type="paragraph" w:styleId="Footer">
    <w:name w:val="footer"/>
    <w:basedOn w:val="Normal"/>
    <w:link w:val="FooterChar"/>
    <w:uiPriority w:val="99"/>
    <w:rsid w:val="008D1694"/>
    <w:pPr>
      <w:tabs>
        <w:tab w:val="center" w:pos="4820"/>
        <w:tab w:val="right" w:pos="9639"/>
      </w:tabs>
    </w:pPr>
    <w:rPr>
      <w:sz w:val="20"/>
      <w:szCs w:val="20"/>
      <w:lang w:val="fr-FR" w:eastAsia="fr-FR"/>
    </w:rPr>
  </w:style>
  <w:style w:type="character" w:customStyle="1" w:styleId="FooterChar">
    <w:name w:val="Footer Char"/>
    <w:link w:val="Footer"/>
    <w:uiPriority w:val="99"/>
    <w:locked/>
    <w:rsid w:val="00084F33"/>
    <w:rPr>
      <w:rFonts w:ascii="Arial" w:hAnsi="Arial" w:cs="Arial"/>
      <w:sz w:val="24"/>
      <w:szCs w:val="24"/>
    </w:rPr>
  </w:style>
  <w:style w:type="paragraph" w:styleId="Header">
    <w:name w:val="header"/>
    <w:basedOn w:val="Normal"/>
    <w:link w:val="HeaderChar"/>
    <w:uiPriority w:val="99"/>
    <w:rsid w:val="008D1694"/>
    <w:pPr>
      <w:tabs>
        <w:tab w:val="center" w:pos="4820"/>
        <w:tab w:val="right" w:pos="9639"/>
      </w:tabs>
    </w:pPr>
    <w:rPr>
      <w:sz w:val="20"/>
      <w:szCs w:val="20"/>
      <w:lang w:val="fr-FR"/>
    </w:rPr>
  </w:style>
  <w:style w:type="character" w:customStyle="1" w:styleId="HeaderChar">
    <w:name w:val="Header Char"/>
    <w:link w:val="Header"/>
    <w:uiPriority w:val="99"/>
    <w:locked/>
    <w:rsid w:val="005C566C"/>
    <w:rPr>
      <w:rFonts w:ascii="Arial" w:hAnsi="Arial" w:cs="Arial"/>
      <w:sz w:val="24"/>
      <w:szCs w:val="24"/>
      <w:lang w:eastAsia="en-GB"/>
    </w:rPr>
  </w:style>
  <w:style w:type="character" w:styleId="Hyperlink">
    <w:name w:val="Hyperlink"/>
    <w:uiPriority w:val="99"/>
    <w:rsid w:val="00FC0EB3"/>
    <w:rPr>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8D1694"/>
    <w:pPr>
      <w:spacing w:after="60"/>
      <w:ind w:left="1701"/>
      <w:jc w:val="both"/>
    </w:pPr>
    <w:rPr>
      <w:sz w:val="20"/>
      <w:szCs w:val="20"/>
    </w:rPr>
  </w:style>
  <w:style w:type="paragraph" w:customStyle="1" w:styleId="List1indenttext">
    <w:name w:val="List 1 indent text"/>
    <w:basedOn w:val="Normal"/>
    <w:uiPriority w:val="99"/>
    <w:rsid w:val="008D1694"/>
    <w:pPr>
      <w:spacing w:after="120"/>
      <w:ind w:left="1134"/>
      <w:jc w:val="both"/>
    </w:pPr>
  </w:style>
  <w:style w:type="paragraph" w:customStyle="1" w:styleId="List1text">
    <w:name w:val="List 1 text"/>
    <w:basedOn w:val="Normal"/>
    <w:uiPriority w:val="99"/>
    <w:rsid w:val="008D1694"/>
    <w:pPr>
      <w:spacing w:after="120"/>
      <w:ind w:left="567"/>
    </w:pPr>
  </w:style>
  <w:style w:type="character" w:styleId="PageNumber">
    <w:name w:val="page number"/>
    <w:basedOn w:val="DefaultParagraphFont"/>
    <w:uiPriority w:val="99"/>
    <w:rsid w:val="008D1694"/>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lang w:eastAsia="en-US"/>
    </w:rPr>
  </w:style>
  <w:style w:type="paragraph" w:customStyle="1" w:styleId="Table">
    <w:name w:val="Table_#"/>
    <w:basedOn w:val="Normal"/>
    <w:next w:val="Normal"/>
    <w:uiPriority w:val="99"/>
    <w:rsid w:val="008D1694"/>
    <w:pPr>
      <w:numPr>
        <w:numId w:val="11"/>
      </w:numPr>
      <w:spacing w:before="120" w:after="120"/>
      <w:jc w:val="center"/>
    </w:pPr>
    <w:rPr>
      <w:i/>
      <w:iCs/>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Calibri"/>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b/>
      <w:bCs/>
      <w:caps/>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sz w:val="20"/>
      <w:szCs w:val="20"/>
      <w:lang w:val="fr-FR" w:eastAsia="fr-FR"/>
    </w:rPr>
  </w:style>
  <w:style w:type="character" w:customStyle="1" w:styleId="BodyTextIndentChar">
    <w:name w:val="Body Text Indent Char"/>
    <w:link w:val="BodyTextIndent"/>
    <w:uiPriority w:val="99"/>
    <w:locked/>
    <w:rsid w:val="00243228"/>
    <w:rPr>
      <w:rFonts w:ascii="Arial" w:hAnsi="Arial" w:cs="Arial"/>
      <w:sz w:val="24"/>
      <w:szCs w:val="24"/>
    </w:rPr>
  </w:style>
  <w:style w:type="paragraph" w:styleId="BodyTextIndent2">
    <w:name w:val="Body Text Indent 2"/>
    <w:basedOn w:val="Normal"/>
    <w:link w:val="BodyTextIndent2Char"/>
    <w:uiPriority w:val="99"/>
    <w:rsid w:val="008D1694"/>
    <w:pPr>
      <w:spacing w:after="120"/>
      <w:ind w:left="1134"/>
      <w:jc w:val="both"/>
    </w:pPr>
    <w:rPr>
      <w:sz w:val="20"/>
      <w:szCs w:val="20"/>
      <w:lang w:val="fr-FR" w:eastAsia="de-DE"/>
    </w:rPr>
  </w:style>
  <w:style w:type="character" w:customStyle="1" w:styleId="BodyTextIndent2Char">
    <w:name w:val="Body Text Indent 2 Char"/>
    <w:link w:val="BodyTextIndent2"/>
    <w:uiPriority w:val="99"/>
    <w:locked/>
    <w:rsid w:val="00243228"/>
    <w:rPr>
      <w:rFonts w:ascii="Arial" w:hAnsi="Arial" w:cs="Arial"/>
      <w:sz w:val="24"/>
      <w:szCs w:val="24"/>
      <w:lang w:eastAsia="de-DE"/>
    </w:rPr>
  </w:style>
  <w:style w:type="character" w:styleId="FootnoteReference">
    <w:name w:val="footnote reference"/>
    <w:uiPriority w:val="99"/>
    <w:semiHidden/>
    <w:rsid w:val="008D1694"/>
    <w:rPr>
      <w:rFonts w:ascii="Arial" w:hAnsi="Arial" w:cs="Arial"/>
      <w:sz w:val="16"/>
      <w:szCs w:val="16"/>
    </w:rPr>
  </w:style>
  <w:style w:type="paragraph" w:styleId="FootnoteText">
    <w:name w:val="footnote text"/>
    <w:basedOn w:val="Normal"/>
    <w:link w:val="FootnoteTextChar"/>
    <w:uiPriority w:val="99"/>
    <w:semiHidden/>
    <w:rsid w:val="00243228"/>
    <w:rPr>
      <w:sz w:val="20"/>
      <w:szCs w:val="20"/>
      <w:lang w:val="fr-FR" w:eastAsia="fr-FR"/>
    </w:rPr>
  </w:style>
  <w:style w:type="character" w:customStyle="1" w:styleId="FootnoteTextChar">
    <w:name w:val="Footnote Text Char"/>
    <w:link w:val="FootnoteText"/>
    <w:uiPriority w:val="99"/>
    <w:semiHidden/>
    <w:locked/>
    <w:rsid w:val="00243228"/>
    <w:rPr>
      <w:rFonts w:ascii="Arial" w:hAnsi="Arial" w:cs="Arial"/>
      <w:sz w:val="20"/>
      <w:szCs w:val="20"/>
    </w:rPr>
  </w:style>
  <w:style w:type="paragraph" w:styleId="Subtitle">
    <w:name w:val="Subtitle"/>
    <w:basedOn w:val="Normal"/>
    <w:link w:val="SubtitleChar"/>
    <w:uiPriority w:val="99"/>
    <w:qFormat/>
    <w:rsid w:val="008D1694"/>
    <w:pPr>
      <w:spacing w:after="60"/>
      <w:jc w:val="center"/>
      <w:outlineLvl w:val="1"/>
    </w:pPr>
    <w:rPr>
      <w:sz w:val="20"/>
      <w:szCs w:val="20"/>
      <w:lang w:val="fr-FR" w:eastAsia="fr-FR"/>
    </w:rPr>
  </w:style>
  <w:style w:type="character" w:customStyle="1" w:styleId="SubtitleChar">
    <w:name w:val="Subtitle Char"/>
    <w:link w:val="Subtitle"/>
    <w:uiPriority w:val="99"/>
    <w:locked/>
    <w:rsid w:val="00243228"/>
    <w:rPr>
      <w:rFonts w:ascii="Arial" w:hAnsi="Arial" w:cs="Arial"/>
      <w:sz w:val="24"/>
      <w:szCs w:val="24"/>
    </w:rPr>
  </w:style>
  <w:style w:type="paragraph" w:styleId="Title">
    <w:name w:val="Title"/>
    <w:basedOn w:val="Normal"/>
    <w:link w:val="TitleChar"/>
    <w:uiPriority w:val="99"/>
    <w:qFormat/>
    <w:rsid w:val="00943E9C"/>
    <w:pPr>
      <w:spacing w:before="120" w:after="240"/>
      <w:jc w:val="center"/>
      <w:outlineLvl w:val="0"/>
    </w:pPr>
    <w:rPr>
      <w:b/>
      <w:bCs/>
      <w:kern w:val="28"/>
      <w:sz w:val="32"/>
      <w:szCs w:val="32"/>
      <w:lang w:val="fr-FR" w:eastAsia="fr-FR"/>
    </w:rPr>
  </w:style>
  <w:style w:type="character" w:customStyle="1" w:styleId="TitleChar">
    <w:name w:val="Title Char"/>
    <w:link w:val="Title"/>
    <w:uiPriority w:val="99"/>
    <w:locked/>
    <w:rsid w:val="00943E9C"/>
    <w:rPr>
      <w:rFonts w:ascii="Arial" w:hAnsi="Arial" w:cs="Arial"/>
      <w:b/>
      <w:bCs/>
      <w:kern w:val="28"/>
      <w:sz w:val="32"/>
      <w:szCs w:val="32"/>
    </w:rPr>
  </w:style>
  <w:style w:type="paragraph" w:customStyle="1" w:styleId="List1indent1">
    <w:name w:val="List 1 indent 1"/>
    <w:basedOn w:val="Normal"/>
    <w:uiPriority w:val="99"/>
    <w:rsid w:val="00765622"/>
    <w:pPr>
      <w:numPr>
        <w:ilvl w:val="1"/>
        <w:numId w:val="12"/>
      </w:numPr>
      <w:spacing w:after="120"/>
      <w:jc w:val="both"/>
    </w:pPr>
  </w:style>
  <w:style w:type="paragraph" w:customStyle="1" w:styleId="List1indent1text">
    <w:name w:val="List 1 indent 1 text"/>
    <w:basedOn w:val="Normal"/>
    <w:uiPriority w:val="99"/>
    <w:rsid w:val="008D1694"/>
    <w:pPr>
      <w:spacing w:after="120"/>
      <w:ind w:left="1134"/>
      <w:jc w:val="both"/>
    </w:pPr>
    <w:rPr>
      <w:lang w:eastAsia="fr-FR"/>
    </w:rPr>
  </w:style>
  <w:style w:type="paragraph" w:customStyle="1" w:styleId="References">
    <w:name w:val="References"/>
    <w:basedOn w:val="Normal"/>
    <w:uiPriority w:val="99"/>
    <w:rsid w:val="008D1694"/>
    <w:pPr>
      <w:numPr>
        <w:numId w:val="10"/>
      </w:numPr>
      <w:spacing w:after="120"/>
    </w:pPr>
  </w:style>
  <w:style w:type="paragraph" w:customStyle="1" w:styleId="AppendixHeading1">
    <w:name w:val="Appendix Heading 1"/>
    <w:basedOn w:val="Normal"/>
    <w:next w:val="BodyText"/>
    <w:uiPriority w:val="99"/>
    <w:rsid w:val="008D1694"/>
    <w:pPr>
      <w:numPr>
        <w:numId w:val="5"/>
      </w:numPr>
      <w:spacing w:before="120" w:after="120"/>
    </w:pPr>
    <w:rPr>
      <w:b/>
      <w:bCs/>
      <w:caps/>
      <w:sz w:val="24"/>
      <w:szCs w:val="24"/>
    </w:rPr>
  </w:style>
  <w:style w:type="paragraph" w:customStyle="1" w:styleId="AppendixHeading2">
    <w:name w:val="Appendix Heading 2"/>
    <w:basedOn w:val="Normal"/>
    <w:next w:val="BodyText"/>
    <w:uiPriority w:val="99"/>
    <w:rsid w:val="008D1694"/>
    <w:pPr>
      <w:numPr>
        <w:ilvl w:val="1"/>
        <w:numId w:val="5"/>
      </w:numPr>
      <w:spacing w:before="120" w:after="120"/>
    </w:pPr>
    <w:rPr>
      <w:b/>
      <w:bCs/>
    </w:rPr>
  </w:style>
  <w:style w:type="paragraph" w:customStyle="1" w:styleId="AppendixHeading3">
    <w:name w:val="Appendix Heading 3"/>
    <w:basedOn w:val="Normal"/>
    <w:next w:val="Normal"/>
    <w:uiPriority w:val="99"/>
    <w:rsid w:val="008D1694"/>
    <w:pPr>
      <w:numPr>
        <w:ilvl w:val="2"/>
        <w:numId w:val="5"/>
      </w:numPr>
      <w:spacing w:before="120" w:after="120"/>
    </w:pPr>
  </w:style>
  <w:style w:type="paragraph" w:customStyle="1" w:styleId="AppendixHeading4">
    <w:name w:val="Appendix Heading 4"/>
    <w:basedOn w:val="Normal"/>
    <w:next w:val="BodyText"/>
    <w:uiPriority w:val="99"/>
    <w:rsid w:val="008D1694"/>
    <w:pPr>
      <w:numPr>
        <w:ilvl w:val="3"/>
        <w:numId w:val="5"/>
      </w:numPr>
      <w:spacing w:before="120" w:after="120"/>
    </w:p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lang w:eastAsia="en-US"/>
    </w:rPr>
  </w:style>
  <w:style w:type="table" w:styleId="TableGrid">
    <w:name w:val="Table Grid"/>
    <w:basedOn w:val="TableNormal"/>
    <w:uiPriority w:val="99"/>
    <w:rsid w:val="00783FEA"/>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uiPriority w:val="99"/>
    <w:rsid w:val="002E6FCA"/>
    <w:pPr>
      <w:numPr>
        <w:numId w:val="17"/>
      </w:numPr>
      <w:spacing w:before="120" w:after="240"/>
      <w:ind w:left="1985" w:hanging="1985"/>
    </w:pPr>
    <w:rPr>
      <w:b/>
      <w:bCs/>
      <w:sz w:val="24"/>
      <w:szCs w:val="24"/>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link w:val="BalloonText"/>
    <w:uiPriority w:val="99"/>
    <w:semiHidden/>
    <w:locked/>
    <w:rsid w:val="008A356F"/>
    <w:rPr>
      <w:rFonts w:ascii="Tahoma" w:hAnsi="Tahoma" w:cs="Tahoma"/>
      <w:sz w:val="16"/>
      <w:szCs w:val="16"/>
    </w:rPr>
  </w:style>
  <w:style w:type="paragraph" w:styleId="ListParagraph">
    <w:name w:val="List Paragraph"/>
    <w:basedOn w:val="Normal"/>
    <w:uiPriority w:val="99"/>
    <w:qFormat/>
    <w:rsid w:val="00420A38"/>
    <w:pPr>
      <w:ind w:left="720"/>
    </w:pPr>
  </w:style>
  <w:style w:type="character" w:styleId="CommentReference">
    <w:name w:val="annotation reference"/>
    <w:uiPriority w:val="99"/>
    <w:semiHidden/>
    <w:rsid w:val="00EA5A97"/>
    <w:rPr>
      <w:rFonts w:cs="Times New Roman"/>
      <w:sz w:val="16"/>
      <w:szCs w:val="16"/>
    </w:rPr>
  </w:style>
  <w:style w:type="paragraph" w:styleId="CommentText">
    <w:name w:val="annotation text"/>
    <w:basedOn w:val="Normal"/>
    <w:link w:val="CommentTextChar"/>
    <w:uiPriority w:val="99"/>
    <w:semiHidden/>
    <w:rsid w:val="00EA5A97"/>
    <w:rPr>
      <w:sz w:val="20"/>
      <w:szCs w:val="20"/>
    </w:rPr>
  </w:style>
  <w:style w:type="character" w:customStyle="1" w:styleId="CommentTextChar">
    <w:name w:val="Comment Text Char"/>
    <w:link w:val="CommentText"/>
    <w:uiPriority w:val="99"/>
    <w:semiHidden/>
    <w:locked/>
    <w:rsid w:val="00EA5A97"/>
    <w:rPr>
      <w:rFonts w:ascii="Arial" w:hAnsi="Arial" w:cs="Arial"/>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link w:val="CommentSubject"/>
    <w:uiPriority w:val="99"/>
    <w:semiHidden/>
    <w:locked/>
    <w:rsid w:val="00EA5A97"/>
    <w:rPr>
      <w:rFonts w:ascii="Arial" w:hAnsi="Arial" w:cs="Arial"/>
      <w:b/>
      <w:bCs/>
    </w:rPr>
  </w:style>
  <w:style w:type="paragraph" w:customStyle="1" w:styleId="Normal1">
    <w:name w:val="Normal1"/>
    <w:uiPriority w:val="99"/>
    <w:rsid w:val="00E43D9E"/>
    <w:pPr>
      <w:widowControl w:val="0"/>
      <w:suppressAutoHyphens/>
      <w:textAlignment w:val="baseline"/>
    </w:pPr>
    <w:rPr>
      <w:rFonts w:ascii="Times New Roman" w:eastAsia="SimSun" w:hAnsi="Times New Roman"/>
      <w:color w:val="00000A"/>
      <w:sz w:val="24"/>
      <w:szCs w:val="24"/>
      <w:lang w:val="fr-FR" w:eastAsia="zh-CN"/>
    </w:rPr>
  </w:style>
  <w:style w:type="paragraph" w:styleId="NormalWeb">
    <w:name w:val="Normal (Web)"/>
    <w:basedOn w:val="Normal"/>
    <w:uiPriority w:val="99"/>
    <w:locked/>
    <w:rsid w:val="00E43D9E"/>
    <w:pPr>
      <w:spacing w:before="100" w:beforeAutospacing="1" w:after="119"/>
    </w:pPr>
    <w:rPr>
      <w:sz w:val="24"/>
      <w:szCs w:val="24"/>
      <w:lang w:val="fr-FR" w:eastAsia="fr-FR"/>
    </w:rPr>
  </w:style>
  <w:style w:type="character" w:customStyle="1" w:styleId="hps">
    <w:name w:val="hps"/>
    <w:uiPriority w:val="99"/>
    <w:rsid w:val="0020464B"/>
    <w:rPr>
      <w:rFonts w:cs="Times New Roman"/>
    </w:rPr>
  </w:style>
  <w:style w:type="numbering" w:styleId="ArticleSection">
    <w:name w:val="Outline List 3"/>
    <w:basedOn w:val="NoList"/>
    <w:uiPriority w:val="99"/>
    <w:semiHidden/>
    <w:unhideWhenUsed/>
    <w:locked/>
    <w:rsid w:val="00B77E54"/>
    <w:pPr>
      <w:numPr>
        <w:numId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542757">
      <w:marLeft w:val="0"/>
      <w:marRight w:val="0"/>
      <w:marTop w:val="0"/>
      <w:marBottom w:val="0"/>
      <w:divBdr>
        <w:top w:val="none" w:sz="0" w:space="0" w:color="auto"/>
        <w:left w:val="none" w:sz="0" w:space="0" w:color="auto"/>
        <w:bottom w:val="none" w:sz="0" w:space="0" w:color="auto"/>
        <w:right w:val="none" w:sz="0" w:space="0" w:color="auto"/>
      </w:divBdr>
    </w:div>
    <w:div w:id="1070542758">
      <w:marLeft w:val="0"/>
      <w:marRight w:val="0"/>
      <w:marTop w:val="0"/>
      <w:marBottom w:val="0"/>
      <w:divBdr>
        <w:top w:val="none" w:sz="0" w:space="0" w:color="auto"/>
        <w:left w:val="none" w:sz="0" w:space="0" w:color="auto"/>
        <w:bottom w:val="none" w:sz="0" w:space="0" w:color="auto"/>
        <w:right w:val="none" w:sz="0" w:space="0" w:color="auto"/>
      </w:divBdr>
    </w:div>
    <w:div w:id="1070542759">
      <w:marLeft w:val="0"/>
      <w:marRight w:val="0"/>
      <w:marTop w:val="0"/>
      <w:marBottom w:val="0"/>
      <w:divBdr>
        <w:top w:val="none" w:sz="0" w:space="0" w:color="auto"/>
        <w:left w:val="none" w:sz="0" w:space="0" w:color="auto"/>
        <w:bottom w:val="none" w:sz="0" w:space="0" w:color="auto"/>
        <w:right w:val="none" w:sz="0" w:space="0" w:color="auto"/>
      </w:divBdr>
    </w:div>
    <w:div w:id="10705427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3</Pages>
  <Words>940</Words>
  <Characters>5358</Characters>
  <Application>Microsoft Office Word</Application>
  <DocSecurity>0</DocSecurity>
  <Lines>44</Lines>
  <Paragraphs>12</Paragraphs>
  <ScaleCrop>false</ScaleCrop>
  <Company/>
  <LinksUpToDate>false</LinksUpToDate>
  <CharactersWithSpaces>6286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dc:description/>
  <cp:lastModifiedBy>Wim</cp:lastModifiedBy>
  <cp:revision>14</cp:revision>
  <cp:lastPrinted>2016-07-07T19:47:00Z</cp:lastPrinted>
  <dcterms:created xsi:type="dcterms:W3CDTF">2016-01-07T13:04:00Z</dcterms:created>
  <dcterms:modified xsi:type="dcterms:W3CDTF">2016-07-08T09:40:00Z</dcterms:modified>
</cp:coreProperties>
</file>