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2DC040B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342DF">
        <w:rPr>
          <w:rFonts w:ascii="Calibri" w:hAnsi="Calibri"/>
        </w:rPr>
        <w:t>ARM5</w:t>
      </w:r>
      <w:r w:rsidRPr="007A395D">
        <w:rPr>
          <w:rFonts w:ascii="Calibri" w:hAnsi="Calibri"/>
        </w:rPr>
        <w:t>-</w:t>
      </w:r>
      <w:r w:rsidR="001F143E">
        <w:rPr>
          <w:rFonts w:ascii="Calibri" w:hAnsi="Calibri"/>
        </w:rPr>
        <w:t>9.5.1</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B03554C" w:rsidR="0080294B" w:rsidRPr="007A395D" w:rsidRDefault="006342DF" w:rsidP="00F36489">
      <w:pPr>
        <w:pStyle w:val="BodyText"/>
        <w:rPr>
          <w:b/>
        </w:rPr>
      </w:pPr>
      <w:r>
        <w:rPr>
          <w:b/>
        </w:rPr>
        <w:t>X</w:t>
      </w:r>
      <w:r w:rsidR="0080294B" w:rsidRPr="007A395D">
        <w:t xml:space="preserve">  ARM</w:t>
      </w:r>
      <w:r w:rsidR="00037DF4" w:rsidRPr="007A395D">
        <w:tab/>
      </w:r>
      <w:r w:rsidR="008610D9">
        <w:tab/>
      </w:r>
      <w:proofErr w:type="gramStart"/>
      <w:r w:rsidR="0080294B"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Pr>
          <w:b/>
        </w:rPr>
        <w:t>X</w:t>
      </w:r>
      <w:r w:rsidR="0080294B" w:rsidRPr="007A395D">
        <w:t xml:space="preserve">  Input</w:t>
      </w:r>
    </w:p>
    <w:p w14:paraId="0BC79547" w14:textId="06A4F020"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5A7223FA"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proofErr w:type="spellStart"/>
      <w:r w:rsidR="0080294B" w:rsidRPr="007A395D">
        <w:t>n.n</w:t>
      </w:r>
      <w:proofErr w:type="spellEnd"/>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16076279"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342DF">
        <w:t>DWG</w:t>
      </w:r>
    </w:p>
    <w:p w14:paraId="60BCC120" w14:textId="77777777" w:rsidR="0080294B" w:rsidRPr="007A395D" w:rsidRDefault="0080294B" w:rsidP="00F36489">
      <w:pPr>
        <w:pStyle w:val="BodyText"/>
      </w:pPr>
    </w:p>
    <w:p w14:paraId="4834080C" w14:textId="3459714F" w:rsidR="00A446C9" w:rsidRPr="00605E43" w:rsidRDefault="00D170BD" w:rsidP="00F36489">
      <w:pPr>
        <w:pStyle w:val="Title"/>
      </w:pPr>
      <w:r>
        <w:t xml:space="preserve">DWG liaison note </w:t>
      </w:r>
      <w:r w:rsidR="006342DF">
        <w:t xml:space="preserve">to the ARM Committee </w:t>
      </w:r>
      <w:r>
        <w:t>re Dictionary definitions</w:t>
      </w:r>
    </w:p>
    <w:p w14:paraId="0F258596" w14:textId="50FB6E37" w:rsidR="00A446C9" w:rsidRPr="00605E43" w:rsidRDefault="00A446C9" w:rsidP="00605E43">
      <w:pPr>
        <w:pStyle w:val="Heading1"/>
      </w:pPr>
      <w:r w:rsidRPr="00605E43">
        <w:t>Summary</w:t>
      </w:r>
    </w:p>
    <w:p w14:paraId="7DE9AFF9" w14:textId="3FC76E12" w:rsidR="006342DF" w:rsidRDefault="006342DF" w:rsidP="006342DF">
      <w:pPr>
        <w:pStyle w:val="BodyText"/>
      </w:pPr>
      <w:r>
        <w:t>The DWG thanks the ARM Committee for its work on definition of terms for the IALA Dictionary.</w:t>
      </w:r>
    </w:p>
    <w:p w14:paraId="0910DEA5" w14:textId="77777777" w:rsidR="006342DF" w:rsidRDefault="006342DF" w:rsidP="006342DF">
      <w:pPr>
        <w:pStyle w:val="BodyText"/>
      </w:pPr>
      <w:r>
        <w:t>Approved definitions have been incorporated into the on-line Dictionary.</w:t>
      </w:r>
    </w:p>
    <w:p w14:paraId="673A04BB" w14:textId="0BA3019E" w:rsidR="006342DF" w:rsidRDefault="006342DF" w:rsidP="006342DF">
      <w:pPr>
        <w:pStyle w:val="BodyText"/>
      </w:pPr>
      <w:r>
        <w:t xml:space="preserve">Unfortunately the DWG queried some proposed definitions and requests the ARM Committee to reconsider and revise the proposed definitions in the Annex. DWG queries are shown in </w:t>
      </w:r>
      <w:proofErr w:type="gramStart"/>
      <w:r>
        <w:t>the accept</w:t>
      </w:r>
      <w:proofErr w:type="gramEnd"/>
      <w:r>
        <w:t>/ reject column.</w:t>
      </w:r>
    </w:p>
    <w:p w14:paraId="5C4951BB" w14:textId="77777777" w:rsidR="006342DF" w:rsidRPr="007A395D" w:rsidRDefault="006342DF" w:rsidP="006342DF">
      <w:pPr>
        <w:pStyle w:val="Heading2"/>
      </w:pPr>
      <w:r w:rsidRPr="007A395D">
        <w:t>Related documents</w:t>
      </w:r>
    </w:p>
    <w:p w14:paraId="03D14968" w14:textId="73E61FC6" w:rsidR="006342DF" w:rsidRPr="00F36489" w:rsidRDefault="007A222D" w:rsidP="006342DF">
      <w:pPr>
        <w:pStyle w:val="BodyText"/>
      </w:pPr>
      <w:r w:rsidRPr="007A222D">
        <w:t>ARM4-12.1.14 Dictionary amendment proposal form ARM4 - WG2 - EPA</w:t>
      </w:r>
      <w:r w:rsidR="006342DF" w:rsidRPr="00F36489">
        <w:t>.</w:t>
      </w:r>
    </w:p>
    <w:p w14:paraId="0EF9BF6D" w14:textId="77777777" w:rsidR="006342DF" w:rsidRPr="007A395D" w:rsidRDefault="006342DF" w:rsidP="006342DF">
      <w:pPr>
        <w:pStyle w:val="Heading1"/>
      </w:pPr>
      <w:r w:rsidRPr="007A395D">
        <w:t>Action requested of the Committee</w:t>
      </w:r>
    </w:p>
    <w:p w14:paraId="7A9FD49F" w14:textId="1E316542" w:rsidR="00F25BF4" w:rsidRPr="007A395D" w:rsidRDefault="006342DF" w:rsidP="006342DF">
      <w:pPr>
        <w:pStyle w:val="List1"/>
      </w:pPr>
      <w:r w:rsidRPr="007A395D">
        <w:t>The Committee is requested to</w:t>
      </w:r>
      <w:r>
        <w:t xml:space="preserve"> consider and revise the proposed definitions in the Annex.</w:t>
      </w:r>
    </w:p>
    <w:p w14:paraId="60ACBEC9" w14:textId="77777777" w:rsidR="004D1D85" w:rsidRPr="007A395D" w:rsidRDefault="004D1D85" w:rsidP="00F36489">
      <w:pPr>
        <w:pStyle w:val="List1"/>
        <w:numPr>
          <w:ilvl w:val="0"/>
          <w:numId w:val="0"/>
        </w:numPr>
        <w:ind w:left="567"/>
      </w:pPr>
    </w:p>
    <w:p w14:paraId="5E201BEE" w14:textId="77777777" w:rsidR="004D1D85" w:rsidRPr="007A395D" w:rsidRDefault="004D1D85" w:rsidP="00F36489">
      <w:pPr>
        <w:pStyle w:val="List1"/>
        <w:numPr>
          <w:ilvl w:val="0"/>
          <w:numId w:val="0"/>
        </w:numPr>
        <w:ind w:left="567"/>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0AE6A493" w14:textId="148584CB" w:rsidR="000005D3" w:rsidRDefault="008610D9" w:rsidP="008610D9">
      <w:pPr>
        <w:pStyle w:val="Annex"/>
      </w:pPr>
      <w:r>
        <w:lastRenderedPageBreak/>
        <w:t xml:space="preserve">List of </w:t>
      </w:r>
      <w:r w:rsidRPr="008610D9">
        <w:t>dictionary</w:t>
      </w:r>
      <w:r>
        <w:t xml:space="preserve"> terms</w:t>
      </w:r>
    </w:p>
    <w:tbl>
      <w:tblPr>
        <w:tblStyle w:val="TableGrid"/>
        <w:tblW w:w="5000" w:type="pct"/>
        <w:tblLook w:val="04A0" w:firstRow="1" w:lastRow="0" w:firstColumn="1" w:lastColumn="0" w:noHBand="0" w:noVBand="1"/>
      </w:tblPr>
      <w:tblGrid>
        <w:gridCol w:w="1321"/>
        <w:gridCol w:w="1263"/>
        <w:gridCol w:w="1558"/>
        <w:gridCol w:w="1351"/>
        <w:gridCol w:w="1807"/>
        <w:gridCol w:w="4158"/>
        <w:gridCol w:w="1328"/>
        <w:gridCol w:w="730"/>
        <w:gridCol w:w="1270"/>
      </w:tblGrid>
      <w:tr w:rsidR="008610D9" w14:paraId="5079B2C0" w14:textId="77777777" w:rsidTr="006342DF">
        <w:trPr>
          <w:tblHeader/>
        </w:trPr>
        <w:tc>
          <w:tcPr>
            <w:tcW w:w="447" w:type="pct"/>
            <w:tcBorders>
              <w:bottom w:val="thickThinSmallGap" w:sz="24" w:space="0" w:color="000000"/>
            </w:tcBorders>
            <w:shd w:val="clear" w:color="auto" w:fill="365F91" w:themeFill="accent1" w:themeFillShade="BF"/>
            <w:vAlign w:val="center"/>
          </w:tcPr>
          <w:p w14:paraId="39E2C908"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Term</w:t>
            </w:r>
          </w:p>
        </w:tc>
        <w:tc>
          <w:tcPr>
            <w:tcW w:w="427" w:type="pct"/>
            <w:tcBorders>
              <w:bottom w:val="thickThinSmallGap" w:sz="24" w:space="0" w:color="000000"/>
            </w:tcBorders>
            <w:shd w:val="clear" w:color="auto" w:fill="365F91" w:themeFill="accent1" w:themeFillShade="BF"/>
            <w:vAlign w:val="center"/>
          </w:tcPr>
          <w:p w14:paraId="4C4711AB"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Dictionary Number</w:t>
            </w:r>
          </w:p>
        </w:tc>
        <w:tc>
          <w:tcPr>
            <w:tcW w:w="527" w:type="pct"/>
            <w:tcBorders>
              <w:bottom w:val="thickThinSmallGap" w:sz="24" w:space="0" w:color="000000"/>
            </w:tcBorders>
            <w:shd w:val="clear" w:color="auto" w:fill="365F91" w:themeFill="accent1" w:themeFillShade="BF"/>
            <w:vAlign w:val="center"/>
          </w:tcPr>
          <w:p w14:paraId="5D7DBE30"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Dictionary Category</w:t>
            </w:r>
          </w:p>
        </w:tc>
        <w:tc>
          <w:tcPr>
            <w:tcW w:w="457" w:type="pct"/>
            <w:tcBorders>
              <w:bottom w:val="thickThinSmallGap" w:sz="24" w:space="0" w:color="000000"/>
            </w:tcBorders>
            <w:shd w:val="clear" w:color="auto" w:fill="365F91" w:themeFill="accent1" w:themeFillShade="BF"/>
            <w:vAlign w:val="center"/>
          </w:tcPr>
          <w:p w14:paraId="3BF614F3"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Source</w:t>
            </w:r>
          </w:p>
          <w:p w14:paraId="6A8E7C20"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(meeting/</w:t>
            </w:r>
          </w:p>
          <w:p w14:paraId="773CCD42"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document/</w:t>
            </w:r>
          </w:p>
          <w:p w14:paraId="729B63EB"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person)</w:t>
            </w:r>
          </w:p>
        </w:tc>
        <w:tc>
          <w:tcPr>
            <w:tcW w:w="611" w:type="pct"/>
            <w:tcBorders>
              <w:bottom w:val="thickThinSmallGap" w:sz="24" w:space="0" w:color="000000"/>
            </w:tcBorders>
            <w:shd w:val="clear" w:color="auto" w:fill="365F91" w:themeFill="accent1" w:themeFillShade="BF"/>
            <w:vAlign w:val="center"/>
          </w:tcPr>
          <w:p w14:paraId="4E5533D1"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Old definition</w:t>
            </w:r>
          </w:p>
        </w:tc>
        <w:tc>
          <w:tcPr>
            <w:tcW w:w="1406" w:type="pct"/>
            <w:tcBorders>
              <w:bottom w:val="thickThinSmallGap" w:sz="24" w:space="0" w:color="000000"/>
            </w:tcBorders>
            <w:shd w:val="clear" w:color="auto" w:fill="365F91" w:themeFill="accent1" w:themeFillShade="BF"/>
            <w:vAlign w:val="center"/>
          </w:tcPr>
          <w:p w14:paraId="35B1C619"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Proposed definition</w:t>
            </w:r>
          </w:p>
        </w:tc>
        <w:tc>
          <w:tcPr>
            <w:tcW w:w="449" w:type="pct"/>
            <w:tcBorders>
              <w:bottom w:val="thickThinSmallGap" w:sz="24" w:space="0" w:color="000000"/>
            </w:tcBorders>
            <w:shd w:val="clear" w:color="auto" w:fill="365F91" w:themeFill="accent1" w:themeFillShade="BF"/>
            <w:vAlign w:val="center"/>
          </w:tcPr>
          <w:p w14:paraId="00097983"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Reason for change</w:t>
            </w:r>
          </w:p>
        </w:tc>
        <w:tc>
          <w:tcPr>
            <w:tcW w:w="247" w:type="pct"/>
            <w:tcBorders>
              <w:bottom w:val="thickThinSmallGap" w:sz="24" w:space="0" w:color="000000"/>
            </w:tcBorders>
            <w:shd w:val="clear" w:color="auto" w:fill="365F91" w:themeFill="accent1" w:themeFillShade="BF"/>
            <w:vAlign w:val="center"/>
          </w:tcPr>
          <w:p w14:paraId="0687548F"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Date</w:t>
            </w:r>
          </w:p>
        </w:tc>
        <w:tc>
          <w:tcPr>
            <w:tcW w:w="429" w:type="pct"/>
            <w:tcBorders>
              <w:bottom w:val="thickThinSmallGap" w:sz="24" w:space="0" w:color="000000"/>
            </w:tcBorders>
            <w:shd w:val="clear" w:color="auto" w:fill="365F91" w:themeFill="accent1" w:themeFillShade="BF"/>
            <w:vAlign w:val="center"/>
          </w:tcPr>
          <w:p w14:paraId="10C3ADBF"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Accept/</w:t>
            </w:r>
          </w:p>
          <w:p w14:paraId="3DED3792"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Reject</w:t>
            </w:r>
          </w:p>
        </w:tc>
      </w:tr>
      <w:tr w:rsidR="008610D9" w:rsidRPr="00633C6D" w14:paraId="60C6D9DE" w14:textId="77777777" w:rsidTr="006342DF">
        <w:tc>
          <w:tcPr>
            <w:tcW w:w="447" w:type="pct"/>
          </w:tcPr>
          <w:p w14:paraId="2E4B7793" w14:textId="77777777" w:rsidR="008610D9" w:rsidRPr="00BB3B2A" w:rsidRDefault="008610D9" w:rsidP="00D13615">
            <w:pPr>
              <w:pStyle w:val="BodyText"/>
              <w:rPr>
                <w:rFonts w:asciiTheme="minorHAnsi" w:hAnsiTheme="minorHAnsi"/>
              </w:rPr>
            </w:pPr>
            <w:r w:rsidRPr="00BB3B2A">
              <w:rPr>
                <w:rFonts w:asciiTheme="minorHAnsi" w:hAnsiTheme="minorHAnsi"/>
              </w:rPr>
              <w:t>Protected Area</w:t>
            </w:r>
          </w:p>
        </w:tc>
        <w:tc>
          <w:tcPr>
            <w:tcW w:w="427" w:type="pct"/>
          </w:tcPr>
          <w:p w14:paraId="20370790" w14:textId="77777777" w:rsidR="008610D9" w:rsidRPr="00BB3B2A" w:rsidRDefault="008610D9" w:rsidP="00D13615">
            <w:pPr>
              <w:pStyle w:val="BodyText"/>
              <w:jc w:val="center"/>
            </w:pPr>
          </w:p>
        </w:tc>
        <w:tc>
          <w:tcPr>
            <w:tcW w:w="527" w:type="pct"/>
          </w:tcPr>
          <w:p w14:paraId="7A29EBE3" w14:textId="77777777" w:rsidR="008610D9" w:rsidRDefault="008610D9" w:rsidP="008610D9">
            <w:pPr>
              <w:pStyle w:val="BodyText"/>
              <w:numPr>
                <w:ilvl w:val="1"/>
                <w:numId w:val="45"/>
              </w:numPr>
              <w:jc w:val="left"/>
              <w:rPr>
                <w:rFonts w:asciiTheme="minorHAnsi" w:hAnsiTheme="minorHAnsi"/>
              </w:rPr>
            </w:pPr>
            <w:r>
              <w:rPr>
                <w:rFonts w:asciiTheme="minorHAnsi" w:hAnsiTheme="minorHAnsi"/>
              </w:rPr>
              <w:t xml:space="preserve">Basic Terms or </w:t>
            </w:r>
          </w:p>
          <w:p w14:paraId="354B55BB" w14:textId="77777777" w:rsidR="008610D9" w:rsidRPr="00BB3B2A" w:rsidRDefault="008610D9" w:rsidP="008610D9">
            <w:pPr>
              <w:pStyle w:val="BodyText"/>
              <w:numPr>
                <w:ilvl w:val="1"/>
                <w:numId w:val="45"/>
              </w:numPr>
              <w:jc w:val="left"/>
              <w:rPr>
                <w:rFonts w:asciiTheme="minorHAnsi" w:hAnsiTheme="minorHAnsi"/>
              </w:rPr>
            </w:pPr>
            <w:r>
              <w:rPr>
                <w:rFonts w:asciiTheme="minorHAnsi" w:hAnsiTheme="minorHAnsi"/>
              </w:rPr>
              <w:t>Navigation</w:t>
            </w:r>
          </w:p>
        </w:tc>
        <w:tc>
          <w:tcPr>
            <w:tcW w:w="457" w:type="pct"/>
          </w:tcPr>
          <w:p w14:paraId="2624C0ED" w14:textId="77777777" w:rsidR="008610D9" w:rsidRPr="00BB3B2A" w:rsidRDefault="008610D9" w:rsidP="00D13615">
            <w:pPr>
              <w:pStyle w:val="BodyText"/>
              <w:jc w:val="left"/>
              <w:rPr>
                <w:rFonts w:asciiTheme="minorHAnsi" w:hAnsiTheme="minorHAnsi"/>
              </w:rPr>
            </w:pPr>
            <w:r>
              <w:rPr>
                <w:rFonts w:asciiTheme="minorHAnsi" w:hAnsiTheme="minorHAnsi"/>
              </w:rPr>
              <w:t>ARM4</w:t>
            </w:r>
          </w:p>
        </w:tc>
        <w:tc>
          <w:tcPr>
            <w:tcW w:w="611" w:type="pct"/>
          </w:tcPr>
          <w:p w14:paraId="6B09FD57" w14:textId="77777777" w:rsidR="008610D9" w:rsidRPr="00BB3B2A" w:rsidRDefault="008610D9" w:rsidP="00D13615">
            <w:pPr>
              <w:pStyle w:val="BodyText"/>
              <w:jc w:val="left"/>
              <w:rPr>
                <w:b/>
                <w:sz w:val="20"/>
                <w:szCs w:val="20"/>
              </w:rPr>
            </w:pPr>
          </w:p>
        </w:tc>
        <w:tc>
          <w:tcPr>
            <w:tcW w:w="1406" w:type="pct"/>
          </w:tcPr>
          <w:p w14:paraId="7948EA1D" w14:textId="77777777" w:rsidR="008610D9" w:rsidRDefault="008610D9" w:rsidP="00D13615">
            <w:pPr>
              <w:pStyle w:val="BodyText"/>
              <w:jc w:val="left"/>
              <w:rPr>
                <w:rFonts w:asciiTheme="minorHAnsi" w:hAnsiTheme="minorHAnsi" w:cs="Arial"/>
                <w:lang w:eastAsia="zh-CN"/>
              </w:rPr>
            </w:pPr>
            <w:r w:rsidRPr="00BB3B2A">
              <w:rPr>
                <w:rFonts w:asciiTheme="minorHAnsi" w:hAnsiTheme="minorHAnsi" w:cs="Arial"/>
                <w:lang w:eastAsia="zh-CN"/>
              </w:rPr>
              <w:t>A protected area is a clearly defined geographical space, recognised, dedicated and managed, through legal or other effective means, to achieve the long term conservation of nature with associated ecosystem services and cultural values.</w:t>
            </w:r>
          </w:p>
          <w:p w14:paraId="7D4A4FF2" w14:textId="77777777" w:rsidR="008610D9" w:rsidRPr="00BB3B2A" w:rsidRDefault="008610D9" w:rsidP="00D13615">
            <w:pPr>
              <w:pStyle w:val="BodyText"/>
              <w:jc w:val="left"/>
              <w:rPr>
                <w:rFonts w:asciiTheme="minorHAnsi" w:hAnsiTheme="minorHAnsi" w:cs="Arial"/>
                <w:color w:val="FF0000"/>
                <w:lang w:eastAsia="zh-CN"/>
              </w:rPr>
            </w:pPr>
            <w:r>
              <w:rPr>
                <w:rFonts w:asciiTheme="minorHAnsi" w:hAnsiTheme="minorHAnsi" w:cs="Arial"/>
                <w:color w:val="FF0000"/>
                <w:lang w:eastAsia="zh-CN"/>
              </w:rPr>
              <w:t>French translation in ARM4-12.1.14</w:t>
            </w:r>
          </w:p>
        </w:tc>
        <w:tc>
          <w:tcPr>
            <w:tcW w:w="449" w:type="pct"/>
          </w:tcPr>
          <w:p w14:paraId="26E9E908" w14:textId="77777777" w:rsidR="008610D9" w:rsidRDefault="008610D9" w:rsidP="00D13615">
            <w:pPr>
              <w:pStyle w:val="BodyText"/>
              <w:jc w:val="left"/>
              <w:rPr>
                <w:sz w:val="20"/>
                <w:szCs w:val="20"/>
              </w:rPr>
            </w:pPr>
            <w:r>
              <w:rPr>
                <w:sz w:val="20"/>
                <w:szCs w:val="20"/>
              </w:rPr>
              <w:t>New term</w:t>
            </w:r>
          </w:p>
          <w:p w14:paraId="769DA3F5" w14:textId="77777777" w:rsidR="008610D9" w:rsidRPr="0098176E" w:rsidRDefault="008610D9" w:rsidP="00D13615">
            <w:pPr>
              <w:pStyle w:val="BodyText"/>
              <w:jc w:val="left"/>
              <w:rPr>
                <w:sz w:val="20"/>
                <w:szCs w:val="20"/>
              </w:rPr>
            </w:pPr>
            <w:r w:rsidRPr="00BB3B2A">
              <w:rPr>
                <w:sz w:val="20"/>
                <w:szCs w:val="20"/>
              </w:rPr>
              <w:t>Guideline Management of AtoN in EPA</w:t>
            </w:r>
          </w:p>
        </w:tc>
        <w:tc>
          <w:tcPr>
            <w:tcW w:w="247" w:type="pct"/>
          </w:tcPr>
          <w:p w14:paraId="18A7D5DB" w14:textId="77777777" w:rsidR="008610D9" w:rsidRPr="00B8136B" w:rsidRDefault="008610D9" w:rsidP="00D13615">
            <w:pPr>
              <w:pStyle w:val="BodyText"/>
              <w:jc w:val="center"/>
              <w:rPr>
                <w:sz w:val="18"/>
                <w:szCs w:val="18"/>
              </w:rPr>
            </w:pPr>
            <w:r>
              <w:rPr>
                <w:rFonts w:asciiTheme="minorHAnsi" w:hAnsiTheme="minorHAnsi"/>
                <w:sz w:val="20"/>
                <w:szCs w:val="20"/>
              </w:rPr>
              <w:t>2016-04-20</w:t>
            </w:r>
          </w:p>
        </w:tc>
        <w:tc>
          <w:tcPr>
            <w:tcW w:w="429" w:type="pct"/>
          </w:tcPr>
          <w:p w14:paraId="79C4031A" w14:textId="77777777" w:rsidR="008610D9" w:rsidRDefault="008610D9" w:rsidP="00D13615">
            <w:pPr>
              <w:pStyle w:val="BodyText"/>
              <w:rPr>
                <w:sz w:val="20"/>
                <w:szCs w:val="20"/>
              </w:rPr>
            </w:pPr>
            <w:r>
              <w:rPr>
                <w:sz w:val="20"/>
                <w:szCs w:val="20"/>
              </w:rPr>
              <w:t>Reject</w:t>
            </w:r>
          </w:p>
          <w:p w14:paraId="6FB806C3" w14:textId="77777777" w:rsidR="008610D9" w:rsidRDefault="008610D9" w:rsidP="00D13615">
            <w:pPr>
              <w:pStyle w:val="BodyText"/>
              <w:rPr>
                <w:sz w:val="20"/>
                <w:szCs w:val="20"/>
              </w:rPr>
            </w:pPr>
            <w:r>
              <w:rPr>
                <w:sz w:val="20"/>
                <w:szCs w:val="20"/>
              </w:rPr>
              <w:t>May be other non-IALA sources of this definition</w:t>
            </w:r>
          </w:p>
          <w:p w14:paraId="01E84CAC" w14:textId="77777777" w:rsidR="008610D9" w:rsidRDefault="008610D9" w:rsidP="00D13615">
            <w:pPr>
              <w:pStyle w:val="BodyText"/>
              <w:rPr>
                <w:sz w:val="20"/>
                <w:szCs w:val="20"/>
              </w:rPr>
            </w:pPr>
            <w:r>
              <w:rPr>
                <w:sz w:val="20"/>
                <w:szCs w:val="20"/>
              </w:rPr>
              <w:t>Is there an international IMO definition</w:t>
            </w:r>
          </w:p>
          <w:p w14:paraId="47D21044" w14:textId="77777777" w:rsidR="008610D9" w:rsidRPr="00633C6D" w:rsidRDefault="008610D9" w:rsidP="00D13615">
            <w:pPr>
              <w:pStyle w:val="BodyText"/>
              <w:rPr>
                <w:sz w:val="20"/>
                <w:szCs w:val="20"/>
              </w:rPr>
            </w:pPr>
            <w:r>
              <w:rPr>
                <w:sz w:val="20"/>
                <w:szCs w:val="20"/>
              </w:rPr>
              <w:t>Identify source</w:t>
            </w:r>
          </w:p>
        </w:tc>
      </w:tr>
      <w:tr w:rsidR="008610D9" w:rsidRPr="00633C6D" w14:paraId="0C673E97" w14:textId="77777777" w:rsidTr="006342DF">
        <w:tc>
          <w:tcPr>
            <w:tcW w:w="447" w:type="pct"/>
          </w:tcPr>
          <w:p w14:paraId="47A11056" w14:textId="77777777" w:rsidR="008610D9" w:rsidRPr="00BB3B2A" w:rsidRDefault="008610D9" w:rsidP="00D13615">
            <w:pPr>
              <w:pStyle w:val="BodyText"/>
              <w:rPr>
                <w:rFonts w:asciiTheme="minorHAnsi" w:hAnsiTheme="minorHAnsi"/>
              </w:rPr>
            </w:pPr>
            <w:r w:rsidRPr="00BB3B2A">
              <w:rPr>
                <w:rFonts w:asciiTheme="minorHAnsi" w:hAnsiTheme="minorHAnsi"/>
              </w:rPr>
              <w:t>Marine Protected Area</w:t>
            </w:r>
          </w:p>
        </w:tc>
        <w:tc>
          <w:tcPr>
            <w:tcW w:w="427" w:type="pct"/>
          </w:tcPr>
          <w:p w14:paraId="08FC824C" w14:textId="77777777" w:rsidR="008610D9" w:rsidRPr="00BB3B2A" w:rsidRDefault="008610D9" w:rsidP="00D13615">
            <w:pPr>
              <w:pStyle w:val="BodyText"/>
              <w:jc w:val="center"/>
            </w:pPr>
          </w:p>
        </w:tc>
        <w:tc>
          <w:tcPr>
            <w:tcW w:w="527" w:type="pct"/>
          </w:tcPr>
          <w:p w14:paraId="5A1F42EC" w14:textId="77777777" w:rsidR="008610D9" w:rsidRPr="00F00C98" w:rsidRDefault="008610D9" w:rsidP="00D13615">
            <w:pPr>
              <w:pStyle w:val="BodyText"/>
              <w:rPr>
                <w:rFonts w:asciiTheme="minorHAnsi" w:hAnsiTheme="minorHAnsi"/>
              </w:rPr>
            </w:pPr>
            <w:r w:rsidRPr="00F00C98">
              <w:rPr>
                <w:rFonts w:asciiTheme="minorHAnsi" w:hAnsiTheme="minorHAnsi"/>
              </w:rPr>
              <w:t>1.1</w:t>
            </w:r>
            <w:r>
              <w:rPr>
                <w:rFonts w:asciiTheme="minorHAnsi" w:hAnsiTheme="minorHAnsi"/>
              </w:rPr>
              <w:t xml:space="preserve"> </w:t>
            </w:r>
            <w:r w:rsidRPr="00F00C98">
              <w:rPr>
                <w:rFonts w:asciiTheme="minorHAnsi" w:hAnsiTheme="minorHAnsi"/>
              </w:rPr>
              <w:t xml:space="preserve">Basic Terms or </w:t>
            </w:r>
          </w:p>
          <w:p w14:paraId="7C57431A" w14:textId="77777777" w:rsidR="008610D9" w:rsidRPr="00BB3B2A" w:rsidRDefault="008610D9" w:rsidP="00D13615">
            <w:pPr>
              <w:pStyle w:val="BodyText"/>
              <w:jc w:val="left"/>
              <w:rPr>
                <w:rFonts w:asciiTheme="minorHAnsi" w:hAnsiTheme="minorHAnsi"/>
              </w:rPr>
            </w:pPr>
            <w:r w:rsidRPr="00F00C98">
              <w:rPr>
                <w:rFonts w:asciiTheme="minorHAnsi" w:hAnsiTheme="minorHAnsi"/>
              </w:rPr>
              <w:t>1.2</w:t>
            </w:r>
            <w:r>
              <w:rPr>
                <w:rFonts w:asciiTheme="minorHAnsi" w:hAnsiTheme="minorHAnsi"/>
              </w:rPr>
              <w:t xml:space="preserve"> N</w:t>
            </w:r>
            <w:r w:rsidRPr="00F00C98">
              <w:rPr>
                <w:rFonts w:asciiTheme="minorHAnsi" w:hAnsiTheme="minorHAnsi"/>
              </w:rPr>
              <w:t>avigation</w:t>
            </w:r>
          </w:p>
        </w:tc>
        <w:tc>
          <w:tcPr>
            <w:tcW w:w="457" w:type="pct"/>
          </w:tcPr>
          <w:p w14:paraId="3AB647D0" w14:textId="77777777" w:rsidR="008610D9" w:rsidRPr="00BB3B2A" w:rsidRDefault="008610D9" w:rsidP="00D13615">
            <w:pPr>
              <w:pStyle w:val="BodyText"/>
              <w:jc w:val="left"/>
              <w:rPr>
                <w:rFonts w:asciiTheme="minorHAnsi" w:hAnsiTheme="minorHAnsi"/>
              </w:rPr>
            </w:pPr>
            <w:r>
              <w:rPr>
                <w:rFonts w:asciiTheme="minorHAnsi" w:hAnsiTheme="minorHAnsi"/>
              </w:rPr>
              <w:t>ARM4</w:t>
            </w:r>
          </w:p>
        </w:tc>
        <w:tc>
          <w:tcPr>
            <w:tcW w:w="611" w:type="pct"/>
          </w:tcPr>
          <w:p w14:paraId="7DEDCAB4" w14:textId="77777777" w:rsidR="008610D9" w:rsidRPr="00920A7D" w:rsidRDefault="008610D9" w:rsidP="00D13615">
            <w:pPr>
              <w:rPr>
                <w:sz w:val="20"/>
                <w:szCs w:val="20"/>
              </w:rPr>
            </w:pPr>
          </w:p>
        </w:tc>
        <w:tc>
          <w:tcPr>
            <w:tcW w:w="1406" w:type="pct"/>
          </w:tcPr>
          <w:p w14:paraId="26865AEC" w14:textId="77777777" w:rsidR="008610D9" w:rsidRDefault="008610D9" w:rsidP="00D13615">
            <w:pPr>
              <w:pStyle w:val="BodyText"/>
              <w:jc w:val="left"/>
              <w:rPr>
                <w:rFonts w:asciiTheme="minorHAnsi" w:hAnsiTheme="minorHAnsi" w:cs="Arial"/>
                <w:lang w:eastAsia="zh-CN"/>
              </w:rPr>
            </w:pPr>
            <w:r w:rsidRPr="00BB3B2A">
              <w:rPr>
                <w:rFonts w:asciiTheme="minorHAnsi" w:hAnsiTheme="minorHAnsi" w:cs="Arial"/>
                <w:lang w:eastAsia="zh-CN"/>
              </w:rPr>
              <w:t>Any area of the intertidal or subtidal terrain, together with its overlying water and associated flora, fauna, historical and cultural features, which has been reserved by law or other effective means to protect part or all of the enclosed environment.</w:t>
            </w:r>
          </w:p>
          <w:p w14:paraId="0B5AC935" w14:textId="77777777" w:rsidR="008610D9" w:rsidRPr="005C3188" w:rsidRDefault="008610D9" w:rsidP="00D13615">
            <w:pPr>
              <w:pStyle w:val="BodyText"/>
              <w:jc w:val="left"/>
              <w:rPr>
                <w:rFonts w:asciiTheme="minorHAnsi" w:hAnsiTheme="minorHAnsi" w:cs="Arial"/>
                <w:lang w:eastAsia="zh-CN"/>
              </w:rPr>
            </w:pPr>
            <w:r>
              <w:rPr>
                <w:rFonts w:asciiTheme="minorHAnsi" w:hAnsiTheme="minorHAnsi" w:cs="Arial"/>
                <w:color w:val="FF0000"/>
                <w:lang w:eastAsia="zh-CN"/>
              </w:rPr>
              <w:t>French translation in ARM4-12.1.14</w:t>
            </w:r>
          </w:p>
        </w:tc>
        <w:tc>
          <w:tcPr>
            <w:tcW w:w="449" w:type="pct"/>
          </w:tcPr>
          <w:p w14:paraId="34E5B5F2" w14:textId="77777777" w:rsidR="008610D9" w:rsidRDefault="008610D9" w:rsidP="00D13615">
            <w:pPr>
              <w:pStyle w:val="BodyText"/>
              <w:jc w:val="left"/>
              <w:rPr>
                <w:sz w:val="20"/>
                <w:szCs w:val="20"/>
              </w:rPr>
            </w:pPr>
            <w:r>
              <w:rPr>
                <w:sz w:val="20"/>
                <w:szCs w:val="20"/>
              </w:rPr>
              <w:t>New term</w:t>
            </w:r>
          </w:p>
          <w:p w14:paraId="6B81C786" w14:textId="77777777" w:rsidR="008610D9" w:rsidRPr="0098176E" w:rsidRDefault="008610D9" w:rsidP="00D13615">
            <w:pPr>
              <w:pStyle w:val="BodyText"/>
              <w:jc w:val="left"/>
              <w:rPr>
                <w:sz w:val="20"/>
                <w:szCs w:val="20"/>
              </w:rPr>
            </w:pPr>
            <w:r w:rsidRPr="00BB3B2A">
              <w:rPr>
                <w:sz w:val="20"/>
                <w:szCs w:val="20"/>
              </w:rPr>
              <w:t>Guideline Management of AtoN in EPA</w:t>
            </w:r>
          </w:p>
        </w:tc>
        <w:tc>
          <w:tcPr>
            <w:tcW w:w="247" w:type="pct"/>
          </w:tcPr>
          <w:p w14:paraId="6CD04BE0" w14:textId="77777777" w:rsidR="008610D9" w:rsidRPr="00B8136B" w:rsidRDefault="008610D9" w:rsidP="00D13615">
            <w:pPr>
              <w:pStyle w:val="BodyText"/>
              <w:jc w:val="center"/>
              <w:rPr>
                <w:sz w:val="18"/>
                <w:szCs w:val="18"/>
              </w:rPr>
            </w:pPr>
            <w:r>
              <w:rPr>
                <w:sz w:val="18"/>
                <w:szCs w:val="18"/>
              </w:rPr>
              <w:t>2016-04-</w:t>
            </w:r>
            <w:r w:rsidRPr="00BB3B2A">
              <w:rPr>
                <w:sz w:val="18"/>
                <w:szCs w:val="18"/>
              </w:rPr>
              <w:t>20</w:t>
            </w:r>
          </w:p>
        </w:tc>
        <w:tc>
          <w:tcPr>
            <w:tcW w:w="429" w:type="pct"/>
          </w:tcPr>
          <w:p w14:paraId="22BA38CA" w14:textId="77777777" w:rsidR="008610D9" w:rsidRPr="008610D9" w:rsidRDefault="008610D9" w:rsidP="008610D9">
            <w:pPr>
              <w:pStyle w:val="BodyText"/>
              <w:rPr>
                <w:sz w:val="20"/>
                <w:szCs w:val="20"/>
              </w:rPr>
            </w:pPr>
            <w:r w:rsidRPr="008610D9">
              <w:rPr>
                <w:sz w:val="20"/>
                <w:szCs w:val="20"/>
              </w:rPr>
              <w:t>Reject</w:t>
            </w:r>
          </w:p>
          <w:p w14:paraId="5D215906" w14:textId="77777777" w:rsidR="008610D9" w:rsidRPr="008610D9" w:rsidRDefault="008610D9" w:rsidP="008610D9">
            <w:pPr>
              <w:pStyle w:val="BodyText"/>
              <w:rPr>
                <w:sz w:val="20"/>
                <w:szCs w:val="20"/>
              </w:rPr>
            </w:pPr>
            <w:r w:rsidRPr="008610D9">
              <w:rPr>
                <w:sz w:val="20"/>
                <w:szCs w:val="20"/>
              </w:rPr>
              <w:t>May be other non-IALA sources of this definition</w:t>
            </w:r>
          </w:p>
          <w:p w14:paraId="63612B7F" w14:textId="77777777" w:rsidR="008610D9" w:rsidRPr="008610D9" w:rsidRDefault="008610D9" w:rsidP="008610D9">
            <w:pPr>
              <w:pStyle w:val="BodyText"/>
              <w:rPr>
                <w:sz w:val="20"/>
                <w:szCs w:val="20"/>
              </w:rPr>
            </w:pPr>
            <w:r w:rsidRPr="008610D9">
              <w:rPr>
                <w:sz w:val="20"/>
                <w:szCs w:val="20"/>
              </w:rPr>
              <w:t>Is there an international IMO definition</w:t>
            </w:r>
          </w:p>
          <w:p w14:paraId="0DFBB54F" w14:textId="21CE8BB1" w:rsidR="008610D9" w:rsidRPr="00633C6D" w:rsidRDefault="008610D9" w:rsidP="008610D9">
            <w:pPr>
              <w:pStyle w:val="BodyText"/>
              <w:rPr>
                <w:sz w:val="20"/>
                <w:szCs w:val="20"/>
              </w:rPr>
            </w:pPr>
            <w:r w:rsidRPr="008610D9">
              <w:rPr>
                <w:sz w:val="20"/>
                <w:szCs w:val="20"/>
              </w:rPr>
              <w:t>Identify source</w:t>
            </w:r>
          </w:p>
        </w:tc>
      </w:tr>
    </w:tbl>
    <w:p w14:paraId="24FDDBB7" w14:textId="77777777" w:rsidR="008610D9" w:rsidRPr="008610D9" w:rsidRDefault="008610D9" w:rsidP="008610D9">
      <w:pPr>
        <w:pStyle w:val="BodyText"/>
      </w:pPr>
    </w:p>
    <w:sectPr w:rsidR="008610D9" w:rsidRPr="008610D9" w:rsidSect="008610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D39EF" w14:textId="77777777" w:rsidR="009B2FA0" w:rsidRDefault="009B2FA0" w:rsidP="00362CD9">
      <w:r>
        <w:separator/>
      </w:r>
    </w:p>
  </w:endnote>
  <w:endnote w:type="continuationSeparator" w:id="0">
    <w:p w14:paraId="1DD3E429" w14:textId="77777777" w:rsidR="009B2FA0" w:rsidRDefault="009B2FA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1F143E">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F9EAE" w14:textId="77777777" w:rsidR="009B2FA0" w:rsidRDefault="009B2FA0" w:rsidP="00362CD9">
      <w:r>
        <w:separator/>
      </w:r>
    </w:p>
  </w:footnote>
  <w:footnote w:type="continuationSeparator" w:id="0">
    <w:p w14:paraId="22FB7116" w14:textId="77777777" w:rsidR="009B2FA0" w:rsidRDefault="009B2FA0"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1824283"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6D3E5EF3"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09AE64F"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4CA6BF9"/>
    <w:multiLevelType w:val="multilevel"/>
    <w:tmpl w:val="09A6A5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BE2AE1C"/>
    <w:lvl w:ilvl="0">
      <w:start w:val="1"/>
      <w:numFmt w:val="upperLetter"/>
      <w:pStyle w:val="Annex"/>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160"/>
    <w:rsid w:val="000C1B3E"/>
    <w:rsid w:val="00110AE7"/>
    <w:rsid w:val="00177F4D"/>
    <w:rsid w:val="00180DDA"/>
    <w:rsid w:val="001B2A2D"/>
    <w:rsid w:val="001B737D"/>
    <w:rsid w:val="001C44A3"/>
    <w:rsid w:val="001E0E15"/>
    <w:rsid w:val="001F143E"/>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645F5"/>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42DF"/>
    <w:rsid w:val="006652C3"/>
    <w:rsid w:val="00691FD0"/>
    <w:rsid w:val="00692148"/>
    <w:rsid w:val="006A1A1E"/>
    <w:rsid w:val="006A7E45"/>
    <w:rsid w:val="006C05BA"/>
    <w:rsid w:val="006C5948"/>
    <w:rsid w:val="006F2A74"/>
    <w:rsid w:val="006F4F07"/>
    <w:rsid w:val="007118F5"/>
    <w:rsid w:val="00712AA4"/>
    <w:rsid w:val="007146C4"/>
    <w:rsid w:val="00721AA1"/>
    <w:rsid w:val="00724B67"/>
    <w:rsid w:val="007547F8"/>
    <w:rsid w:val="00765622"/>
    <w:rsid w:val="00770B6C"/>
    <w:rsid w:val="00783FEA"/>
    <w:rsid w:val="007A222D"/>
    <w:rsid w:val="007A395D"/>
    <w:rsid w:val="007C346C"/>
    <w:rsid w:val="0080294B"/>
    <w:rsid w:val="0082480E"/>
    <w:rsid w:val="00850293"/>
    <w:rsid w:val="00851373"/>
    <w:rsid w:val="00851BA6"/>
    <w:rsid w:val="0085654D"/>
    <w:rsid w:val="008610D9"/>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B2FA0"/>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0BD"/>
    <w:rsid w:val="00D17A34"/>
    <w:rsid w:val="00D26628"/>
    <w:rsid w:val="00D332B3"/>
    <w:rsid w:val="00D55207"/>
    <w:rsid w:val="00D81801"/>
    <w:rsid w:val="00D92B45"/>
    <w:rsid w:val="00D95962"/>
    <w:rsid w:val="00DC389B"/>
    <w:rsid w:val="00DE2FEE"/>
    <w:rsid w:val="00E00BE9"/>
    <w:rsid w:val="00E22A11"/>
    <w:rsid w:val="00E31E5C"/>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8610D9"/>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8610D9"/>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3D7-F4BB-4E12-B68B-5AD63817A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327</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dcterms:created xsi:type="dcterms:W3CDTF">2016-08-18T11:53:00Z</dcterms:created>
  <dcterms:modified xsi:type="dcterms:W3CDTF">2016-08-30T10:37:00Z</dcterms:modified>
</cp:coreProperties>
</file>