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54B09" w14:textId="6D532ACE" w:rsidR="00BD4E68" w:rsidRDefault="00B955B4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 w:rsidRPr="000E38F0">
        <w:rPr>
          <w:b/>
          <w:smallCaps/>
          <w:sz w:val="28"/>
          <w:u w:val="single"/>
          <w:lang w:val="en-GB"/>
        </w:rPr>
        <w:t xml:space="preserve">Workshop </w:t>
      </w:r>
      <w:r w:rsidR="00BD4E68" w:rsidRPr="000E38F0">
        <w:rPr>
          <w:b/>
          <w:smallCaps/>
          <w:sz w:val="28"/>
          <w:u w:val="single"/>
          <w:lang w:val="en-GB"/>
        </w:rPr>
        <w:t>Proposal</w:t>
      </w:r>
      <w:r w:rsidR="000C0D6A">
        <w:rPr>
          <w:b/>
          <w:smallCaps/>
          <w:sz w:val="28"/>
          <w:u w:val="single"/>
          <w:lang w:val="en-GB"/>
        </w:rPr>
        <w:t xml:space="preserve"> </w:t>
      </w:r>
    </w:p>
    <w:p w14:paraId="2A9E144D" w14:textId="109247F8" w:rsidR="003207ED" w:rsidRDefault="001222C4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  <w:r>
        <w:rPr>
          <w:b/>
          <w:smallCaps/>
          <w:sz w:val="28"/>
          <w:u w:val="single"/>
          <w:lang w:val="en-GB"/>
        </w:rPr>
        <w:t xml:space="preserve">Competent Authorities </w:t>
      </w:r>
      <w:r w:rsidR="00D43379">
        <w:rPr>
          <w:b/>
          <w:smallCaps/>
          <w:sz w:val="28"/>
          <w:u w:val="single"/>
          <w:lang w:val="en-GB"/>
        </w:rPr>
        <w:t xml:space="preserve">for VTS </w:t>
      </w:r>
      <w:r>
        <w:rPr>
          <w:b/>
          <w:smallCaps/>
          <w:sz w:val="28"/>
          <w:u w:val="single"/>
          <w:lang w:val="en-GB"/>
        </w:rPr>
        <w:t>- R</w:t>
      </w:r>
      <w:r w:rsidR="003207ED">
        <w:rPr>
          <w:b/>
          <w:smallCaps/>
          <w:sz w:val="28"/>
          <w:u w:val="single"/>
          <w:lang w:val="en-GB"/>
        </w:rPr>
        <w:t>ole</w:t>
      </w:r>
      <w:r>
        <w:rPr>
          <w:b/>
          <w:smallCaps/>
          <w:sz w:val="28"/>
          <w:u w:val="single"/>
          <w:lang w:val="en-GB"/>
        </w:rPr>
        <w:t>s</w:t>
      </w:r>
      <w:r w:rsidR="003207ED">
        <w:rPr>
          <w:b/>
          <w:smallCaps/>
          <w:sz w:val="28"/>
          <w:u w:val="single"/>
          <w:lang w:val="en-GB"/>
        </w:rPr>
        <w:t xml:space="preserve"> and </w:t>
      </w:r>
      <w:r>
        <w:rPr>
          <w:b/>
          <w:smallCaps/>
          <w:sz w:val="28"/>
          <w:u w:val="single"/>
          <w:lang w:val="en-GB"/>
        </w:rPr>
        <w:t>R</w:t>
      </w:r>
      <w:r w:rsidR="003207ED">
        <w:rPr>
          <w:b/>
          <w:smallCaps/>
          <w:sz w:val="28"/>
          <w:u w:val="single"/>
          <w:lang w:val="en-GB"/>
        </w:rPr>
        <w:t>esponsib</w:t>
      </w:r>
      <w:r>
        <w:rPr>
          <w:b/>
          <w:smallCaps/>
          <w:sz w:val="28"/>
          <w:u w:val="single"/>
          <w:lang w:val="en-GB"/>
        </w:rPr>
        <w:t>i</w:t>
      </w:r>
      <w:r w:rsidR="003207ED">
        <w:rPr>
          <w:b/>
          <w:smallCaps/>
          <w:sz w:val="28"/>
          <w:u w:val="single"/>
          <w:lang w:val="en-GB"/>
        </w:rPr>
        <w:t>lities</w:t>
      </w:r>
    </w:p>
    <w:p w14:paraId="663655E5" w14:textId="77777777" w:rsidR="002C7F4E" w:rsidRPr="000E38F0" w:rsidRDefault="002C7F4E" w:rsidP="000E38F0">
      <w:pPr>
        <w:spacing w:after="120"/>
        <w:jc w:val="center"/>
        <w:rPr>
          <w:b/>
          <w:smallCaps/>
          <w:sz w:val="28"/>
          <w:u w:val="single"/>
          <w:lang w:val="en-GB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BD4E68" w:rsidRPr="000E38F0" w14:paraId="1C78030B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47BC4620" w14:textId="77777777" w:rsidR="00BD4E68" w:rsidRPr="000E38F0" w:rsidRDefault="00BD4E68" w:rsidP="004940C2">
            <w:p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Vision</w:t>
            </w:r>
          </w:p>
        </w:tc>
        <w:tc>
          <w:tcPr>
            <w:tcW w:w="7796" w:type="dxa"/>
            <w:vAlign w:val="center"/>
          </w:tcPr>
          <w:p w14:paraId="1CDB19C3" w14:textId="23ABBDE2" w:rsidR="00BD4E68" w:rsidRPr="00CE1546" w:rsidRDefault="00126F45" w:rsidP="004940C2">
            <w:pPr>
              <w:overflowPunct/>
              <w:autoSpaceDE/>
              <w:autoSpaceDN/>
              <w:adjustRightInd/>
              <w:spacing w:before="60" w:after="60"/>
              <w:textAlignment w:val="auto"/>
              <w:rPr>
                <w:b/>
                <w:bCs/>
                <w:smallCaps/>
                <w:sz w:val="24"/>
                <w:lang w:val="en-GB"/>
              </w:rPr>
            </w:pPr>
            <w:r w:rsidRPr="00CE1546">
              <w:rPr>
                <w:rFonts w:cs="Arial"/>
                <w:b/>
                <w:bCs/>
                <w:smallCaps/>
                <w:szCs w:val="24"/>
                <w:lang w:val="en-GB"/>
              </w:rPr>
              <w:t xml:space="preserve">G1 – </w:t>
            </w:r>
            <w:r w:rsidRPr="00CE1546">
              <w:rPr>
                <w:rFonts w:cs="Arial"/>
                <w:b/>
                <w:smallCaps/>
                <w:szCs w:val="22"/>
              </w:rPr>
              <w:t>marine aids to navigation are developed and harmonised through international cooperation and the provision of standards.</w:t>
            </w:r>
          </w:p>
        </w:tc>
      </w:tr>
      <w:tr w:rsidR="00BD4E68" w:rsidRPr="000E38F0" w14:paraId="532ABED8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43196F20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Proposal</w:t>
            </w:r>
          </w:p>
        </w:tc>
        <w:tc>
          <w:tcPr>
            <w:tcW w:w="7796" w:type="dxa"/>
            <w:vAlign w:val="center"/>
          </w:tcPr>
          <w:p w14:paraId="41C8E5F5" w14:textId="56DFA858" w:rsidR="00BD4E68" w:rsidRPr="000E38F0" w:rsidRDefault="00CE1546" w:rsidP="00474B28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spacing w:before="60" w:after="60"/>
              <w:textAlignment w:val="auto"/>
              <w:rPr>
                <w:smallCaps/>
                <w:sz w:val="24"/>
                <w:lang w:val="en-GB"/>
              </w:rPr>
            </w:pPr>
            <w:r>
              <w:rPr>
                <w:rFonts w:cs="Arial"/>
                <w:b/>
                <w:smallCaps/>
                <w:szCs w:val="22"/>
              </w:rPr>
              <w:t xml:space="preserve">Workshop </w:t>
            </w:r>
            <w:r w:rsidR="001222C4">
              <w:rPr>
                <w:rFonts w:cs="Arial"/>
                <w:b/>
                <w:smallCaps/>
                <w:szCs w:val="22"/>
              </w:rPr>
              <w:t>On</w:t>
            </w:r>
            <w:r>
              <w:rPr>
                <w:rFonts w:cs="Arial"/>
                <w:b/>
                <w:smallCaps/>
                <w:szCs w:val="22"/>
              </w:rPr>
              <w:t xml:space="preserve"> </w:t>
            </w:r>
            <w:r w:rsidR="001222C4">
              <w:rPr>
                <w:rFonts w:cs="Arial"/>
                <w:b/>
                <w:smallCaps/>
                <w:szCs w:val="22"/>
              </w:rPr>
              <w:t xml:space="preserve">The Roles and Responsibilities of </w:t>
            </w:r>
            <w:r w:rsidR="004940C2">
              <w:rPr>
                <w:rFonts w:cs="Arial"/>
                <w:b/>
                <w:smallCaps/>
                <w:szCs w:val="22"/>
              </w:rPr>
              <w:t>C</w:t>
            </w:r>
            <w:r>
              <w:rPr>
                <w:rFonts w:cs="Arial"/>
                <w:b/>
                <w:smallCaps/>
                <w:szCs w:val="22"/>
              </w:rPr>
              <w:t xml:space="preserve">ompetent </w:t>
            </w:r>
            <w:r w:rsidR="004940C2">
              <w:rPr>
                <w:rFonts w:cs="Arial"/>
                <w:b/>
                <w:smallCaps/>
                <w:szCs w:val="22"/>
              </w:rPr>
              <w:t>A</w:t>
            </w:r>
            <w:r>
              <w:rPr>
                <w:rFonts w:cs="Arial"/>
                <w:b/>
                <w:smallCaps/>
                <w:szCs w:val="22"/>
              </w:rPr>
              <w:t xml:space="preserve">uthorities </w:t>
            </w:r>
            <w:r w:rsidR="00474B28">
              <w:rPr>
                <w:rFonts w:cs="Arial"/>
                <w:b/>
                <w:smallCaps/>
                <w:szCs w:val="22"/>
              </w:rPr>
              <w:t>for VTS</w:t>
            </w:r>
          </w:p>
        </w:tc>
      </w:tr>
      <w:tr w:rsidR="00126F45" w:rsidRPr="000E38F0" w14:paraId="77CFC9BC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7DC09E23" w14:textId="1B703F08" w:rsidR="00126F45" w:rsidRPr="000E38F0" w:rsidRDefault="00126F45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>
              <w:rPr>
                <w:b/>
                <w:smallCaps/>
                <w:sz w:val="28"/>
                <w:lang w:val="en-GB"/>
              </w:rPr>
              <w:t>Need</w:t>
            </w:r>
          </w:p>
        </w:tc>
        <w:tc>
          <w:tcPr>
            <w:tcW w:w="7796" w:type="dxa"/>
            <w:vAlign w:val="center"/>
          </w:tcPr>
          <w:p w14:paraId="2EE3632E" w14:textId="64CB7CC4" w:rsidR="004761B5" w:rsidRDefault="004761B5" w:rsidP="004761B5">
            <w:pPr>
              <w:pStyle w:val="List1"/>
              <w:numPr>
                <w:ilvl w:val="0"/>
                <w:numId w:val="0"/>
              </w:numPr>
              <w:spacing w:before="60" w:after="60"/>
            </w:pPr>
            <w:r>
              <w:t>Existing IALA guidance for the establishment and operation of VTS is largely focused on the delivery of VTS, that is the VTS provider.</w:t>
            </w:r>
          </w:p>
          <w:p w14:paraId="650DCCE3" w14:textId="005C83F9" w:rsidR="00126F45" w:rsidRDefault="00126F45" w:rsidP="004761B5">
            <w:pPr>
              <w:pStyle w:val="List1"/>
              <w:numPr>
                <w:ilvl w:val="0"/>
                <w:numId w:val="0"/>
              </w:numPr>
              <w:spacing w:before="60" w:after="60"/>
            </w:pPr>
            <w:r>
              <w:t xml:space="preserve">There is little guidance </w:t>
            </w:r>
            <w:r w:rsidR="003207ED">
              <w:t xml:space="preserve">available </w:t>
            </w:r>
            <w:r w:rsidR="001222C4">
              <w:t xml:space="preserve">describing practices </w:t>
            </w:r>
            <w:r>
              <w:t>to</w:t>
            </w:r>
            <w:r w:rsidR="003207ED">
              <w:t xml:space="preserve"> a</w:t>
            </w:r>
            <w:r>
              <w:t>ssist competent authorities</w:t>
            </w:r>
            <w:r w:rsidR="001222C4">
              <w:t>, such as</w:t>
            </w:r>
            <w:r>
              <w:t>:</w:t>
            </w:r>
          </w:p>
          <w:p w14:paraId="5D7A1919" w14:textId="358BD722" w:rsidR="00126F45" w:rsidRDefault="00126F45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Establish</w:t>
            </w:r>
            <w:r w:rsidR="001222C4">
              <w:t>ing</w:t>
            </w:r>
            <w:r>
              <w:t xml:space="preserve"> a regulatory framework for establishing and operating VTS in accordance with relevant international conventions and IMO instruments, IALA standards and national law.</w:t>
            </w:r>
          </w:p>
          <w:p w14:paraId="3021BEDB" w14:textId="3070465A" w:rsidR="00126F45" w:rsidRDefault="00126F45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Authoriz</w:t>
            </w:r>
            <w:r w:rsidR="001222C4">
              <w:t>ing</w:t>
            </w:r>
            <w:r>
              <w:t xml:space="preserve"> VTS providers</w:t>
            </w:r>
            <w:r w:rsidR="00F76467">
              <w:t xml:space="preserve"> and establish appropriate policy and regulatory mechanisms to ensure VTS providers continue to meet their obligations.</w:t>
            </w:r>
          </w:p>
          <w:p w14:paraId="19A3AB2E" w14:textId="7968B857" w:rsidR="00126F45" w:rsidRDefault="00126F45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Ensur</w:t>
            </w:r>
            <w:r w:rsidR="001222C4">
              <w:t>ing</w:t>
            </w:r>
            <w:r>
              <w:t xml:space="preserve"> that VTS training is approved and VTS personnel are certified.</w:t>
            </w:r>
          </w:p>
          <w:p w14:paraId="6AA94781" w14:textId="6EA83E28" w:rsidR="002C7F4E" w:rsidRDefault="002C7F4E" w:rsidP="00BD4ED3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Demonstrat</w:t>
            </w:r>
            <w:r w:rsidR="001222C4">
              <w:t>ing</w:t>
            </w:r>
            <w:r>
              <w:t xml:space="preserve"> conformance with IALA standards and associated recommendations, guidelines, and model courses.</w:t>
            </w:r>
          </w:p>
          <w:p w14:paraId="4C54072B" w14:textId="1AA53CA8" w:rsidR="002C7F4E" w:rsidRDefault="00126F45" w:rsidP="004761B5">
            <w:pPr>
              <w:pStyle w:val="List1"/>
              <w:numPr>
                <w:ilvl w:val="0"/>
                <w:numId w:val="30"/>
              </w:numPr>
              <w:spacing w:before="60" w:after="60"/>
            </w:pPr>
            <w:r>
              <w:t>Establish</w:t>
            </w:r>
            <w:r w:rsidR="001222C4">
              <w:t>ing</w:t>
            </w:r>
            <w:r>
              <w:t xml:space="preserve"> a compliance and enforcement framework with respect to violations of VTS regulatory requirements.</w:t>
            </w:r>
          </w:p>
          <w:p w14:paraId="617F9DA6" w14:textId="6E17980D" w:rsidR="004761B5" w:rsidRPr="000E38F0" w:rsidRDefault="004761B5" w:rsidP="004761B5">
            <w:pPr>
              <w:pStyle w:val="List1"/>
              <w:numPr>
                <w:ilvl w:val="0"/>
                <w:numId w:val="0"/>
              </w:numPr>
              <w:spacing w:before="60" w:after="60"/>
            </w:pPr>
            <w:r>
              <w:t>It is envisaged that such guidance would complement IALA</w:t>
            </w:r>
            <w:r w:rsidRPr="004761B5">
              <w:t xml:space="preserve"> </w:t>
            </w:r>
            <w:r w:rsidRPr="004761B5">
              <w:rPr>
                <w:i/>
                <w:iCs/>
              </w:rPr>
              <w:t>Recommendation R0119 - Establishment of a VTS</w:t>
            </w:r>
            <w:r w:rsidRPr="004761B5">
              <w:t xml:space="preserve"> but focusing on the roles and responsibilities of a VTS competent authority.</w:t>
            </w:r>
          </w:p>
        </w:tc>
      </w:tr>
      <w:tr w:rsidR="00BD4E68" w:rsidRPr="000E38F0" w14:paraId="3E8F3CB5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29E85251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Purpose</w:t>
            </w:r>
            <w:r w:rsidR="0022750C">
              <w:rPr>
                <w:b/>
                <w:smallCaps/>
                <w:sz w:val="28"/>
                <w:lang w:val="en-GB"/>
              </w:rPr>
              <w:t>(s)</w:t>
            </w:r>
          </w:p>
        </w:tc>
        <w:tc>
          <w:tcPr>
            <w:tcW w:w="7796" w:type="dxa"/>
            <w:vAlign w:val="center"/>
          </w:tcPr>
          <w:p w14:paraId="68B0A177" w14:textId="3063301A" w:rsidR="000C6308" w:rsidRDefault="00126F45" w:rsidP="000C6308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 xml:space="preserve">Facilitate discussion and active engagement </w:t>
            </w:r>
            <w:r w:rsidR="000C6308">
              <w:t>to</w:t>
            </w:r>
            <w:r>
              <w:t xml:space="preserve"> </w:t>
            </w:r>
            <w:r w:rsidR="000C6308">
              <w:t xml:space="preserve">identifying key subject matter areas for inclusion in the </w:t>
            </w:r>
            <w:r>
              <w:t>prepar</w:t>
            </w:r>
            <w:r w:rsidR="000C6308">
              <w:t>ation of</w:t>
            </w:r>
            <w:r>
              <w:t xml:space="preserve"> guidance </w:t>
            </w:r>
            <w:r w:rsidR="000C6308">
              <w:t>to assist competent authorities establish an appropriate policy and regulatory framework to ensure both themselves and VTS providers meet their respective obligations.</w:t>
            </w:r>
          </w:p>
          <w:p w14:paraId="5132C4EF" w14:textId="210AA121" w:rsidR="006866FB" w:rsidRDefault="006866FB" w:rsidP="006866FB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Identify gaps in existing IALA documentation with regards to the role of competent authorities</w:t>
            </w:r>
            <w:r w:rsidR="000C6308">
              <w:t xml:space="preserve"> and practices that should be considered</w:t>
            </w:r>
            <w:r>
              <w:t>.</w:t>
            </w:r>
          </w:p>
          <w:p w14:paraId="5711D6C0" w14:textId="71E44D6A" w:rsidR="00126F45" w:rsidRDefault="00126F45" w:rsidP="004940C2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Provide the opportunity to broaden the participation and engagement in preparing the draft guidance.</w:t>
            </w:r>
          </w:p>
          <w:p w14:paraId="50AAABD7" w14:textId="0D9D827B" w:rsidR="00BD4E68" w:rsidRPr="000E38F0" w:rsidRDefault="00126F45" w:rsidP="004940C2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 xml:space="preserve">Assist the Committee </w:t>
            </w:r>
            <w:r w:rsidR="000C6308">
              <w:t xml:space="preserve">complete </w:t>
            </w:r>
            <w:r w:rsidR="00D97EAF" w:rsidRPr="00D97EAF">
              <w:rPr>
                <w:i/>
                <w:iCs/>
              </w:rPr>
              <w:t>Task 1.1.5 - Develop Guidance to assist Competent Authorities for VTS establish an appropriate policy and regulatory framework to meet their obligations</w:t>
            </w:r>
            <w:r w:rsidR="00D97EAF">
              <w:t xml:space="preserve"> as described in the Committee </w:t>
            </w:r>
            <w:r w:rsidR="00EF17A6">
              <w:t>Task</w:t>
            </w:r>
            <w:r w:rsidR="00D97EAF">
              <w:t xml:space="preserve"> Plan (</w:t>
            </w:r>
            <w:r w:rsidR="00D97EAF" w:rsidRPr="00B37F5F">
              <w:t xml:space="preserve">Refer </w:t>
            </w:r>
            <w:r w:rsidR="00D97EAF" w:rsidRPr="00B37F5F">
              <w:rPr>
                <w:i/>
                <w:iCs/>
              </w:rPr>
              <w:t>VTS Task Register 2023-2027</w:t>
            </w:r>
            <w:r w:rsidR="00D97EAF" w:rsidRPr="00B37F5F">
              <w:t>)</w:t>
            </w:r>
            <w:r w:rsidRPr="00B37F5F">
              <w:t>.</w:t>
            </w:r>
          </w:p>
        </w:tc>
      </w:tr>
      <w:tr w:rsidR="00BD4E68" w:rsidRPr="000E38F0" w14:paraId="2279702A" w14:textId="77777777" w:rsidTr="000E38F0">
        <w:trPr>
          <w:trHeight w:val="454"/>
        </w:trPr>
        <w:tc>
          <w:tcPr>
            <w:tcW w:w="1951" w:type="dxa"/>
            <w:vAlign w:val="center"/>
          </w:tcPr>
          <w:p w14:paraId="1818D149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Goal</w:t>
            </w:r>
            <w:r w:rsidR="0022750C">
              <w:rPr>
                <w:b/>
                <w:smallCaps/>
                <w:sz w:val="28"/>
                <w:lang w:val="en-GB"/>
              </w:rPr>
              <w:t>(s)</w:t>
            </w:r>
          </w:p>
        </w:tc>
        <w:tc>
          <w:tcPr>
            <w:tcW w:w="7796" w:type="dxa"/>
            <w:vAlign w:val="center"/>
          </w:tcPr>
          <w:p w14:paraId="0B2195B8" w14:textId="71918DB3" w:rsidR="00BD4E68" w:rsidRPr="000E38F0" w:rsidRDefault="00126F45" w:rsidP="00474B28">
            <w:pPr>
              <w:pStyle w:val="List1"/>
              <w:numPr>
                <w:ilvl w:val="0"/>
                <w:numId w:val="0"/>
              </w:numPr>
              <w:spacing w:before="60" w:after="60"/>
              <w:ind w:left="36" w:hanging="36"/>
            </w:pPr>
            <w:r w:rsidRPr="00126F45">
              <w:t xml:space="preserve">To </w:t>
            </w:r>
            <w:r w:rsidR="00474B28">
              <w:t>support and contribute</w:t>
            </w:r>
            <w:r w:rsidR="00474B28" w:rsidRPr="00126F45">
              <w:t xml:space="preserve"> </w:t>
            </w:r>
            <w:r w:rsidR="00D97EAF" w:rsidRPr="00126F45">
              <w:t>to</w:t>
            </w:r>
            <w:r w:rsidRPr="00126F45">
              <w:t xml:space="preserve"> the development of </w:t>
            </w:r>
            <w:r w:rsidR="000C6308">
              <w:t>guidance</w:t>
            </w:r>
            <w:r w:rsidRPr="00126F45">
              <w:t xml:space="preserve"> to assist </w:t>
            </w:r>
            <w:r w:rsidR="00F06D7A" w:rsidRPr="00F06D7A">
              <w:t xml:space="preserve">competent authorities </w:t>
            </w:r>
            <w:r w:rsidR="00474B28">
              <w:t xml:space="preserve">for VTS </w:t>
            </w:r>
            <w:r w:rsidR="00F06D7A" w:rsidRPr="00F06D7A">
              <w:t>establish an appropriate policy and regulatory framework to ensure both themselves and VTS providers meet their respective obligations.</w:t>
            </w:r>
          </w:p>
        </w:tc>
      </w:tr>
      <w:tr w:rsidR="00BD4E68" w:rsidRPr="000E38F0" w14:paraId="215A1DF7" w14:textId="77777777" w:rsidTr="00E17BE2">
        <w:trPr>
          <w:trHeight w:val="2682"/>
        </w:trPr>
        <w:tc>
          <w:tcPr>
            <w:tcW w:w="1951" w:type="dxa"/>
            <w:vAlign w:val="center"/>
          </w:tcPr>
          <w:p w14:paraId="27D0B734" w14:textId="65E5EA44" w:rsidR="00A637B2" w:rsidRPr="00A637B2" w:rsidRDefault="00BD4E68" w:rsidP="00A637B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Who</w:t>
            </w:r>
          </w:p>
        </w:tc>
        <w:tc>
          <w:tcPr>
            <w:tcW w:w="7796" w:type="dxa"/>
          </w:tcPr>
          <w:p w14:paraId="0D11055C" w14:textId="37E5C94B" w:rsidR="00BD4E68" w:rsidRPr="000E38F0" w:rsidRDefault="00BD4E68" w:rsidP="004940C2">
            <w:pPr>
              <w:spacing w:before="60" w:after="60"/>
              <w:rPr>
                <w:lang w:val="en-GB"/>
              </w:rPr>
            </w:pPr>
            <w:r w:rsidRPr="000E38F0">
              <w:rPr>
                <w:lang w:val="en-GB"/>
              </w:rPr>
              <w:t xml:space="preserve">The </w:t>
            </w:r>
            <w:r w:rsidR="00B955B4" w:rsidRPr="000E38F0">
              <w:rPr>
                <w:lang w:val="en-GB"/>
              </w:rPr>
              <w:t xml:space="preserve">workshop </w:t>
            </w:r>
            <w:r w:rsidRPr="000E38F0">
              <w:rPr>
                <w:lang w:val="en-GB"/>
              </w:rPr>
              <w:t>will provide a forum for discus</w:t>
            </w:r>
            <w:r w:rsidR="009D4297">
              <w:rPr>
                <w:lang w:val="en-GB"/>
              </w:rPr>
              <w:t>sion between stakeholder groups</w:t>
            </w:r>
            <w:r w:rsidR="000E38F0" w:rsidRPr="000E38F0">
              <w:rPr>
                <w:lang w:val="en-GB"/>
              </w:rPr>
              <w:t>.  I</w:t>
            </w:r>
            <w:r w:rsidR="009D4297">
              <w:rPr>
                <w:lang w:val="en-GB"/>
              </w:rPr>
              <w:t>t is envis</w:t>
            </w:r>
            <w:r w:rsidR="000E38F0" w:rsidRPr="000E38F0">
              <w:rPr>
                <w:lang w:val="en-GB"/>
              </w:rPr>
              <w:t>aged</w:t>
            </w:r>
            <w:r w:rsidRPr="000E38F0">
              <w:rPr>
                <w:lang w:val="en-GB"/>
              </w:rPr>
              <w:t xml:space="preserve"> that invitations will be sent to</w:t>
            </w:r>
            <w:r w:rsidR="00F06D7A">
              <w:rPr>
                <w:lang w:val="en-GB"/>
              </w:rPr>
              <w:t>:</w:t>
            </w:r>
          </w:p>
          <w:p w14:paraId="61074820" w14:textId="77777777" w:rsidR="00BD4E68" w:rsidRPr="00126F45" w:rsidRDefault="00BD4E6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 w:rsidRPr="00126F45">
              <w:t>IALA National Members</w:t>
            </w:r>
          </w:p>
          <w:p w14:paraId="6F66EC2F" w14:textId="224B0D2E" w:rsidR="00BD4E68" w:rsidRPr="00126F45" w:rsidRDefault="00126F45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Competent authorities for VTS</w:t>
            </w:r>
          </w:p>
          <w:p w14:paraId="5A7FAAE1" w14:textId="7B49E29A" w:rsidR="00BD4E68" w:rsidRPr="00126F45" w:rsidRDefault="00126F45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VTS providers</w:t>
            </w:r>
          </w:p>
          <w:p w14:paraId="6ECB517A" w14:textId="0B7ADE28" w:rsidR="00BD4E68" w:rsidRPr="00126F45" w:rsidRDefault="00474B2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[</w:t>
            </w:r>
            <w:r w:rsidR="00126F45">
              <w:t>Accredited</w:t>
            </w:r>
            <w:r>
              <w:t>]</w:t>
            </w:r>
            <w:r w:rsidR="00126F45">
              <w:t xml:space="preserve"> VTS training organisations</w:t>
            </w:r>
          </w:p>
          <w:p w14:paraId="6880D0D8" w14:textId="77777777" w:rsidR="00474B28" w:rsidRDefault="00474B2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IMO</w:t>
            </w:r>
          </w:p>
          <w:p w14:paraId="18F48D58" w14:textId="4CC97B02" w:rsidR="00126F45" w:rsidRPr="00126F45" w:rsidRDefault="00126F45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 w:rsidRPr="00126F45">
              <w:t>IHMA</w:t>
            </w:r>
          </w:p>
          <w:p w14:paraId="022C77E5" w14:textId="77777777" w:rsidR="00BD4E68" w:rsidRDefault="00BD4E6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 w:rsidRPr="00126F45">
              <w:lastRenderedPageBreak/>
              <w:t>IMPA</w:t>
            </w:r>
          </w:p>
          <w:p w14:paraId="65770079" w14:textId="3F0A3191" w:rsidR="00474B28" w:rsidRPr="000E38F0" w:rsidRDefault="00474B28" w:rsidP="00BD4ED3">
            <w:pPr>
              <w:pStyle w:val="List1"/>
              <w:numPr>
                <w:ilvl w:val="0"/>
                <w:numId w:val="31"/>
              </w:numPr>
              <w:spacing w:before="60" w:after="60"/>
            </w:pPr>
            <w:r>
              <w:t>The Nautical Institute</w:t>
            </w:r>
          </w:p>
        </w:tc>
      </w:tr>
      <w:tr w:rsidR="00BD4E68" w:rsidRPr="000E38F0" w14:paraId="42B9630C" w14:textId="77777777" w:rsidTr="000E38F0">
        <w:trPr>
          <w:trHeight w:val="468"/>
        </w:trPr>
        <w:tc>
          <w:tcPr>
            <w:tcW w:w="1951" w:type="dxa"/>
            <w:vAlign w:val="center"/>
          </w:tcPr>
          <w:p w14:paraId="193C57D0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lastRenderedPageBreak/>
              <w:t>Size of Group</w:t>
            </w:r>
          </w:p>
        </w:tc>
        <w:tc>
          <w:tcPr>
            <w:tcW w:w="7796" w:type="dxa"/>
            <w:vAlign w:val="center"/>
          </w:tcPr>
          <w:p w14:paraId="3B017A30" w14:textId="22F6A79C" w:rsidR="00B955B4" w:rsidRPr="000E38F0" w:rsidRDefault="00BD4E68" w:rsidP="004940C2">
            <w:pPr>
              <w:pStyle w:val="BodyText"/>
              <w:spacing w:before="60" w:after="60"/>
            </w:pPr>
            <w:r w:rsidRPr="000E38F0">
              <w:t xml:space="preserve">It is expected that the </w:t>
            </w:r>
            <w:r w:rsidR="000E38F0" w:rsidRPr="00126F45">
              <w:t>Workshop</w:t>
            </w:r>
            <w:r w:rsidRPr="000E38F0">
              <w:t xml:space="preserve"> will attract a group of up to </w:t>
            </w:r>
            <w:r w:rsidR="00126F45">
              <w:t>45</w:t>
            </w:r>
            <w:r w:rsidRPr="000E38F0">
              <w:t xml:space="preserve"> persons</w:t>
            </w:r>
            <w:r w:rsidR="00B955B4" w:rsidRPr="000E38F0">
              <w:t>.</w:t>
            </w:r>
          </w:p>
        </w:tc>
      </w:tr>
      <w:tr w:rsidR="00BD4E68" w:rsidRPr="000E38F0" w14:paraId="2824A59A" w14:textId="77777777" w:rsidTr="0022750C">
        <w:trPr>
          <w:trHeight w:val="449"/>
        </w:trPr>
        <w:tc>
          <w:tcPr>
            <w:tcW w:w="1951" w:type="dxa"/>
            <w:vAlign w:val="center"/>
          </w:tcPr>
          <w:p w14:paraId="5D199481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Where</w:t>
            </w:r>
          </w:p>
        </w:tc>
        <w:tc>
          <w:tcPr>
            <w:tcW w:w="7796" w:type="dxa"/>
            <w:vAlign w:val="center"/>
          </w:tcPr>
          <w:p w14:paraId="39630E34" w14:textId="68E858D2" w:rsidR="00BD4E68" w:rsidRPr="000E38F0" w:rsidRDefault="00EC20ED" w:rsidP="004940C2">
            <w:pPr>
              <w:pStyle w:val="BodyText"/>
              <w:spacing w:before="60" w:after="60"/>
            </w:pPr>
            <w:r w:rsidRPr="00EC20ED">
              <w:rPr>
                <w:highlight w:val="yellow"/>
              </w:rPr>
              <w:t>To be determined</w:t>
            </w:r>
          </w:p>
        </w:tc>
      </w:tr>
      <w:tr w:rsidR="00BD4E68" w:rsidRPr="000E38F0" w14:paraId="5AD7A012" w14:textId="77777777" w:rsidTr="000E38F0">
        <w:trPr>
          <w:trHeight w:val="348"/>
        </w:trPr>
        <w:tc>
          <w:tcPr>
            <w:tcW w:w="1951" w:type="dxa"/>
            <w:vAlign w:val="center"/>
          </w:tcPr>
          <w:p w14:paraId="20F1CE14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Duration</w:t>
            </w:r>
          </w:p>
        </w:tc>
        <w:tc>
          <w:tcPr>
            <w:tcW w:w="7796" w:type="dxa"/>
            <w:vAlign w:val="center"/>
          </w:tcPr>
          <w:p w14:paraId="777B9387" w14:textId="09FF3328" w:rsidR="00BD4E68" w:rsidRPr="000E38F0" w:rsidRDefault="004761B5" w:rsidP="004940C2">
            <w:pPr>
              <w:pStyle w:val="BodyText"/>
              <w:spacing w:before="60" w:after="60"/>
            </w:pPr>
            <w:r w:rsidRPr="004761B5">
              <w:t>4</w:t>
            </w:r>
            <w:r w:rsidRPr="004761B5">
              <w:rPr>
                <w:vertAlign w:val="superscript"/>
              </w:rPr>
              <w:t>1</w:t>
            </w:r>
            <w:r w:rsidRPr="004761B5">
              <w:t>/</w:t>
            </w:r>
            <w:r w:rsidRPr="004761B5">
              <w:rPr>
                <w:vertAlign w:val="subscript"/>
              </w:rPr>
              <w:t>2</w:t>
            </w:r>
            <w:r w:rsidRPr="004761B5">
              <w:t xml:space="preserve"> </w:t>
            </w:r>
            <w:r w:rsidR="00BD4E68" w:rsidRPr="000E38F0">
              <w:t>days</w:t>
            </w:r>
          </w:p>
        </w:tc>
      </w:tr>
      <w:tr w:rsidR="00BD4E68" w:rsidRPr="000E38F0" w14:paraId="3DF95CBB" w14:textId="77777777" w:rsidTr="0022750C">
        <w:trPr>
          <w:trHeight w:val="461"/>
        </w:trPr>
        <w:tc>
          <w:tcPr>
            <w:tcW w:w="1951" w:type="dxa"/>
            <w:vAlign w:val="center"/>
          </w:tcPr>
          <w:p w14:paraId="1D24C076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When</w:t>
            </w:r>
          </w:p>
        </w:tc>
        <w:tc>
          <w:tcPr>
            <w:tcW w:w="7796" w:type="dxa"/>
            <w:vAlign w:val="center"/>
          </w:tcPr>
          <w:p w14:paraId="25F83441" w14:textId="238E0AA1" w:rsidR="00BD4E68" w:rsidRPr="000E38F0" w:rsidRDefault="00D97EAF" w:rsidP="004940C2">
            <w:pPr>
              <w:pStyle w:val="BodyText"/>
              <w:spacing w:before="60" w:after="60"/>
            </w:pPr>
            <w:r w:rsidRPr="00D97EAF">
              <w:rPr>
                <w:highlight w:val="yellow"/>
              </w:rPr>
              <w:t>(3</w:t>
            </w:r>
            <w:r w:rsidRPr="00D97EAF">
              <w:rPr>
                <w:highlight w:val="yellow"/>
                <w:vertAlign w:val="superscript"/>
              </w:rPr>
              <w:t>rd</w:t>
            </w:r>
            <w:r w:rsidRPr="00D97EAF">
              <w:rPr>
                <w:highlight w:val="yellow"/>
              </w:rPr>
              <w:t xml:space="preserve"> or 4</w:t>
            </w:r>
            <w:r w:rsidRPr="00D97EAF">
              <w:rPr>
                <w:highlight w:val="yellow"/>
                <w:vertAlign w:val="superscript"/>
              </w:rPr>
              <w:t>th</w:t>
            </w:r>
            <w:r w:rsidRPr="00D97EAF">
              <w:rPr>
                <w:highlight w:val="yellow"/>
              </w:rPr>
              <w:t xml:space="preserve"> </w:t>
            </w:r>
            <w:r w:rsidRPr="000D671D">
              <w:rPr>
                <w:highlight w:val="yellow"/>
              </w:rPr>
              <w:t xml:space="preserve">quarter) </w:t>
            </w:r>
            <w:r w:rsidR="00126F45" w:rsidRPr="000D671D">
              <w:rPr>
                <w:highlight w:val="yellow"/>
              </w:rPr>
              <w:t>2024</w:t>
            </w:r>
            <w:r w:rsidR="00BD4E68" w:rsidRPr="000E38F0">
              <w:t xml:space="preserve"> </w:t>
            </w:r>
          </w:p>
        </w:tc>
      </w:tr>
      <w:tr w:rsidR="00BD4E68" w:rsidRPr="000E38F0" w14:paraId="5CE2D1BB" w14:textId="77777777" w:rsidTr="000E38F0">
        <w:tc>
          <w:tcPr>
            <w:tcW w:w="1951" w:type="dxa"/>
            <w:vAlign w:val="center"/>
          </w:tcPr>
          <w:p w14:paraId="226757D7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Cost to Participants</w:t>
            </w:r>
          </w:p>
        </w:tc>
        <w:tc>
          <w:tcPr>
            <w:tcW w:w="7796" w:type="dxa"/>
            <w:vAlign w:val="center"/>
          </w:tcPr>
          <w:p w14:paraId="71A187C7" w14:textId="49C3BF4E" w:rsidR="00BD4E68" w:rsidRPr="000E38F0" w:rsidRDefault="00474B28" w:rsidP="00474B28">
            <w:pPr>
              <w:pStyle w:val="BodyText"/>
              <w:spacing w:before="60" w:after="60"/>
            </w:pPr>
            <w:r>
              <w:rPr>
                <w:highlight w:val="yellow"/>
              </w:rPr>
              <w:t>Registration fee (t</w:t>
            </w:r>
            <w:r w:rsidR="000E38F0" w:rsidRPr="000E38F0">
              <w:rPr>
                <w:highlight w:val="yellow"/>
              </w:rPr>
              <w:t>o be determined</w:t>
            </w:r>
            <w:r>
              <w:t>)</w:t>
            </w:r>
          </w:p>
        </w:tc>
      </w:tr>
      <w:tr w:rsidR="00BD4E68" w:rsidRPr="000E38F0" w14:paraId="6DFF8735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0494D744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Process</w:t>
            </w:r>
          </w:p>
        </w:tc>
        <w:tc>
          <w:tcPr>
            <w:tcW w:w="7796" w:type="dxa"/>
            <w:vAlign w:val="center"/>
          </w:tcPr>
          <w:p w14:paraId="5D13077F" w14:textId="1DD3D640" w:rsidR="00BD4E68" w:rsidRPr="000E38F0" w:rsidRDefault="004761B5" w:rsidP="004940C2">
            <w:pPr>
              <w:pStyle w:val="BodyText"/>
              <w:spacing w:before="60" w:after="60"/>
            </w:pPr>
            <w:r>
              <w:t>4</w:t>
            </w:r>
            <w:r w:rsidRPr="004761B5">
              <w:rPr>
                <w:vertAlign w:val="superscript"/>
              </w:rPr>
              <w:t>1</w:t>
            </w:r>
            <w:r>
              <w:t>/</w:t>
            </w:r>
            <w:r w:rsidRPr="004761B5">
              <w:rPr>
                <w:vertAlign w:val="subscript"/>
              </w:rPr>
              <w:t>2</w:t>
            </w:r>
            <w:r w:rsidR="00BD4E68" w:rsidRPr="000E38F0">
              <w:t xml:space="preserve"> Day </w:t>
            </w:r>
            <w:r w:rsidR="00E17BE2">
              <w:t>Workshop</w:t>
            </w:r>
          </w:p>
          <w:p w14:paraId="3E136B07" w14:textId="403FDD6D" w:rsidR="00BD4E68" w:rsidRPr="00C02916" w:rsidRDefault="00BD4E68" w:rsidP="004C0509">
            <w:pPr>
              <w:pStyle w:val="BodyText"/>
              <w:spacing w:before="60" w:after="60"/>
              <w:ind w:left="1486" w:hanging="766"/>
            </w:pPr>
            <w:r w:rsidRPr="00C02916">
              <w:t xml:space="preserve">Day 1 </w:t>
            </w:r>
            <w:r w:rsidR="00C02916">
              <w:t>-</w:t>
            </w:r>
            <w:r w:rsidRPr="00C02916">
              <w:t xml:space="preserve"> Introduction, Keynote speech, presentations</w:t>
            </w:r>
            <w:r w:rsidR="00D97EAF">
              <w:t xml:space="preserve"> to set the scene</w:t>
            </w:r>
          </w:p>
          <w:p w14:paraId="09FDC7DC" w14:textId="63D11F39" w:rsidR="00BD4E68" w:rsidRPr="00C02916" w:rsidRDefault="00BD4E68" w:rsidP="004C0509">
            <w:pPr>
              <w:pStyle w:val="BodyText"/>
              <w:spacing w:before="60" w:after="60"/>
              <w:ind w:left="1486" w:hanging="766"/>
            </w:pPr>
            <w:r w:rsidRPr="00C02916">
              <w:t xml:space="preserve">Day 2 </w:t>
            </w:r>
            <w:r w:rsidR="00C02916">
              <w:t>-</w:t>
            </w:r>
            <w:r w:rsidR="00C02916" w:rsidRPr="00C02916">
              <w:t xml:space="preserve"> </w:t>
            </w:r>
            <w:r w:rsidRPr="00C02916">
              <w:t xml:space="preserve">Discussion </w:t>
            </w:r>
            <w:r w:rsidR="00B955B4" w:rsidRPr="00C02916">
              <w:t xml:space="preserve">/ break-out </w:t>
            </w:r>
            <w:r w:rsidRPr="00C02916">
              <w:t>Groups</w:t>
            </w:r>
          </w:p>
          <w:p w14:paraId="123E5B02" w14:textId="783F991E" w:rsidR="00126F45" w:rsidRDefault="00126F45" w:rsidP="004C0509">
            <w:pPr>
              <w:pStyle w:val="BodyText"/>
              <w:spacing w:before="60" w:after="60"/>
              <w:ind w:left="1486" w:hanging="766"/>
            </w:pPr>
            <w:r w:rsidRPr="00C02916">
              <w:t xml:space="preserve">Day 3 - </w:t>
            </w:r>
            <w:r w:rsidR="00C02916" w:rsidRPr="00C02916">
              <w:t>Discussion / break-out Groups</w:t>
            </w:r>
          </w:p>
          <w:p w14:paraId="0FD3680E" w14:textId="076240F2" w:rsidR="004761B5" w:rsidRPr="00C02916" w:rsidRDefault="004761B5" w:rsidP="004C0509">
            <w:pPr>
              <w:pStyle w:val="BodyText"/>
              <w:spacing w:before="60" w:after="60"/>
              <w:ind w:left="1486" w:hanging="766"/>
            </w:pPr>
            <w:r w:rsidRPr="00C02916">
              <w:t xml:space="preserve">Day </w:t>
            </w:r>
            <w:r>
              <w:t>4</w:t>
            </w:r>
            <w:r w:rsidRPr="00C02916">
              <w:t xml:space="preserve"> - </w:t>
            </w:r>
            <w:r>
              <w:t>B</w:t>
            </w:r>
            <w:r w:rsidRPr="00C02916">
              <w:t xml:space="preserve">reak-out </w:t>
            </w:r>
            <w:r w:rsidR="00AB07C6">
              <w:t xml:space="preserve">Group </w:t>
            </w:r>
            <w:r>
              <w:t>Presentations / Discussions</w:t>
            </w:r>
          </w:p>
          <w:p w14:paraId="67E8EE01" w14:textId="5E879640" w:rsidR="004761B5" w:rsidRPr="000E38F0" w:rsidRDefault="00BD4E68" w:rsidP="004C0509">
            <w:pPr>
              <w:pStyle w:val="BodyText"/>
              <w:spacing w:before="60" w:after="60"/>
              <w:ind w:left="1486" w:hanging="766"/>
            </w:pPr>
            <w:r w:rsidRPr="00C02916">
              <w:t xml:space="preserve">Day </w:t>
            </w:r>
            <w:r w:rsidR="004761B5">
              <w:t>5</w:t>
            </w:r>
            <w:r w:rsidRPr="00C02916">
              <w:t xml:space="preserve"> </w:t>
            </w:r>
            <w:r w:rsidR="004761B5">
              <w:t>–</w:t>
            </w:r>
            <w:r w:rsidRPr="00C02916">
              <w:t xml:space="preserve"> </w:t>
            </w:r>
            <w:r w:rsidR="004761B5">
              <w:t>Review of Outcomes / Recommendations</w:t>
            </w:r>
            <w:r w:rsidRPr="000E38F0">
              <w:t xml:space="preserve"> </w:t>
            </w:r>
          </w:p>
        </w:tc>
      </w:tr>
      <w:tr w:rsidR="00BD4E68" w:rsidRPr="000E38F0" w14:paraId="0132AA61" w14:textId="77777777" w:rsidTr="000E38F0">
        <w:trPr>
          <w:trHeight w:val="1356"/>
        </w:trPr>
        <w:tc>
          <w:tcPr>
            <w:tcW w:w="1951" w:type="dxa"/>
            <w:vAlign w:val="center"/>
          </w:tcPr>
          <w:p w14:paraId="7EF2FD34" w14:textId="77777777" w:rsidR="00BD4E68" w:rsidRPr="000E38F0" w:rsidRDefault="00BD4E68" w:rsidP="004940C2">
            <w:pPr>
              <w:numPr>
                <w:ilvl w:val="12"/>
                <w:numId w:val="0"/>
              </w:numPr>
              <w:spacing w:before="60" w:after="60"/>
              <w:ind w:right="-108"/>
              <w:jc w:val="center"/>
              <w:rPr>
                <w:b/>
                <w:smallCaps/>
                <w:sz w:val="28"/>
                <w:lang w:val="en-GB"/>
              </w:rPr>
            </w:pPr>
            <w:r w:rsidRPr="000E38F0">
              <w:rPr>
                <w:b/>
                <w:smallCaps/>
                <w:sz w:val="28"/>
                <w:lang w:val="en-GB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4AE8A4F5" w14:textId="2C184475" w:rsidR="00BD4E68" w:rsidRPr="000E38F0" w:rsidRDefault="00BD4E68" w:rsidP="004940C2">
            <w:pPr>
              <w:pStyle w:val="BodyText"/>
              <w:spacing w:before="60" w:after="60"/>
            </w:pPr>
            <w:r w:rsidRPr="000E38F0">
              <w:t xml:space="preserve">Proposed Steering Committee for the </w:t>
            </w:r>
            <w:r w:rsidR="009D4297" w:rsidRPr="00CE1546">
              <w:t>Workshop</w:t>
            </w:r>
            <w:r w:rsidR="00CE1546" w:rsidRPr="00CE1546">
              <w:t>:</w:t>
            </w:r>
          </w:p>
          <w:p w14:paraId="02153D83" w14:textId="2AEC1630" w:rsidR="00474B28" w:rsidRDefault="000C0D6A" w:rsidP="00474B28">
            <w:pPr>
              <w:pStyle w:val="List1indent1text"/>
              <w:spacing w:before="60" w:after="60"/>
            </w:pPr>
            <w:r w:rsidRPr="00CE1546">
              <w:t>Chair</w:t>
            </w:r>
            <w:r w:rsidR="00474B28">
              <w:t xml:space="preserve"> &amp; Vice-Chair of</w:t>
            </w:r>
            <w:r w:rsidRPr="00CE1546">
              <w:t xml:space="preserve"> IALA </w:t>
            </w:r>
            <w:r w:rsidR="00CE1546" w:rsidRPr="00CE1546">
              <w:t xml:space="preserve">VTS </w:t>
            </w:r>
            <w:r w:rsidRPr="00CE1546">
              <w:t>Committee</w:t>
            </w:r>
          </w:p>
          <w:p w14:paraId="3E1C0814" w14:textId="7E0E26F4" w:rsidR="00D43379" w:rsidRPr="00D43379" w:rsidRDefault="00D43379" w:rsidP="00474B28">
            <w:pPr>
              <w:pStyle w:val="List1indent1text"/>
              <w:spacing w:before="60" w:after="60"/>
              <w:rPr>
                <w:lang w:val="en-US"/>
              </w:rPr>
            </w:pPr>
            <w:r w:rsidRPr="00D43379">
              <w:rPr>
                <w:lang w:val="en-US"/>
              </w:rPr>
              <w:t>Chai</w:t>
            </w:r>
            <w:r>
              <w:rPr>
                <w:lang w:val="en-US"/>
              </w:rPr>
              <w:t xml:space="preserve">r of WG1 of </w:t>
            </w:r>
            <w:r w:rsidRPr="00D43379">
              <w:rPr>
                <w:lang w:val="en-US"/>
              </w:rPr>
              <w:t>IALA VTS Committee</w:t>
            </w:r>
          </w:p>
          <w:p w14:paraId="569AAFA2" w14:textId="6C9A6D19" w:rsidR="00E17BE2" w:rsidRDefault="00CE1546" w:rsidP="004940C2">
            <w:pPr>
              <w:pStyle w:val="List1indent1text"/>
              <w:spacing w:before="60" w:after="60"/>
            </w:pPr>
            <w:r>
              <w:t>Deputy SG</w:t>
            </w:r>
            <w:r w:rsidR="00E17BE2">
              <w:t xml:space="preserve"> / Dean, WWA</w:t>
            </w:r>
          </w:p>
          <w:p w14:paraId="56B3E4B8" w14:textId="76EAFAE7" w:rsidR="00CE1546" w:rsidRPr="0022750C" w:rsidRDefault="00CE1546" w:rsidP="004940C2">
            <w:pPr>
              <w:pStyle w:val="List1indent1text"/>
              <w:spacing w:before="60" w:after="60"/>
            </w:pPr>
            <w:r>
              <w:t>Workshop host National Member</w:t>
            </w:r>
            <w:r w:rsidR="00D43379">
              <w:t>/Competent Authority for VTS</w:t>
            </w:r>
          </w:p>
          <w:p w14:paraId="014C5BA5" w14:textId="6BD738F5" w:rsidR="00BD4E68" w:rsidRPr="001F3DE8" w:rsidRDefault="00B955B4" w:rsidP="004940C2">
            <w:pPr>
              <w:pStyle w:val="List1indent1text"/>
              <w:spacing w:before="60" w:after="60"/>
            </w:pPr>
            <w:r w:rsidRPr="001F3DE8">
              <w:t>Expert 1</w:t>
            </w:r>
            <w:r w:rsidR="003207ED" w:rsidRPr="001F3DE8">
              <w:t xml:space="preserve"> –</w:t>
            </w:r>
            <w:r w:rsidR="00BD4ED3" w:rsidRPr="001F3DE8">
              <w:t xml:space="preserve"> </w:t>
            </w:r>
            <w:r w:rsidR="003207ED" w:rsidRPr="001F3DE8">
              <w:t>IMO Representative</w:t>
            </w:r>
          </w:p>
          <w:p w14:paraId="69648209" w14:textId="44A7F801" w:rsidR="00BD4E68" w:rsidRDefault="00B955B4" w:rsidP="004940C2">
            <w:pPr>
              <w:pStyle w:val="List1indent1text"/>
              <w:spacing w:before="60" w:after="60"/>
            </w:pPr>
            <w:r w:rsidRPr="0022750C">
              <w:rPr>
                <w:highlight w:val="yellow"/>
              </w:rPr>
              <w:t>Expert 2</w:t>
            </w:r>
            <w:r w:rsidR="003207ED">
              <w:t xml:space="preserve"> – </w:t>
            </w:r>
            <w:r w:rsidR="003207ED" w:rsidRPr="003207ED">
              <w:rPr>
                <w:highlight w:val="yellow"/>
              </w:rPr>
              <w:t>Competent Authority 1</w:t>
            </w:r>
          </w:p>
          <w:p w14:paraId="63886F0C" w14:textId="4EE316C4" w:rsidR="003207ED" w:rsidRDefault="003207ED" w:rsidP="003207ED">
            <w:pPr>
              <w:pStyle w:val="List1indent1text"/>
              <w:spacing w:before="60" w:after="60"/>
            </w:pPr>
            <w:r w:rsidRPr="0022750C">
              <w:rPr>
                <w:highlight w:val="yellow"/>
              </w:rPr>
              <w:t>Expert 2</w:t>
            </w:r>
            <w:r>
              <w:t xml:space="preserve"> – </w:t>
            </w:r>
            <w:r w:rsidRPr="003207ED">
              <w:rPr>
                <w:highlight w:val="yellow"/>
              </w:rPr>
              <w:t xml:space="preserve">Competent Authority </w:t>
            </w:r>
            <w:r>
              <w:t>2</w:t>
            </w:r>
          </w:p>
          <w:p w14:paraId="4FDD8B37" w14:textId="77777777" w:rsidR="000C0D6A" w:rsidRPr="0022750C" w:rsidRDefault="000C0D6A" w:rsidP="004940C2">
            <w:pPr>
              <w:pStyle w:val="List1indent1text"/>
              <w:spacing w:before="60" w:after="60"/>
            </w:pPr>
            <w:r w:rsidRPr="00CE1546">
              <w:t>IALA Tech</w:t>
            </w:r>
            <w:r w:rsidR="0022750C" w:rsidRPr="00CE1546">
              <w:t>nical</w:t>
            </w:r>
            <w:r w:rsidRPr="00CE1546">
              <w:t xml:space="preserve"> Co-ordination Manager (Secretary)</w:t>
            </w:r>
          </w:p>
        </w:tc>
      </w:tr>
    </w:tbl>
    <w:p w14:paraId="0FBF0636" w14:textId="77777777" w:rsidR="00BD4E68" w:rsidRPr="000E38F0" w:rsidRDefault="00BD4E68" w:rsidP="00BD4E68">
      <w:pPr>
        <w:rPr>
          <w:lang w:val="en-GB"/>
        </w:rPr>
      </w:pPr>
    </w:p>
    <w:sectPr w:rsidR="00BD4E68" w:rsidRPr="000E38F0" w:rsidSect="000E38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DE985" w14:textId="77777777" w:rsidR="0079704F" w:rsidRDefault="0079704F" w:rsidP="000C0D6A">
      <w:r>
        <w:separator/>
      </w:r>
    </w:p>
  </w:endnote>
  <w:endnote w:type="continuationSeparator" w:id="0">
    <w:p w14:paraId="61CB4B16" w14:textId="77777777" w:rsidR="0079704F" w:rsidRDefault="0079704F" w:rsidP="000C0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6200" w14:textId="77777777" w:rsidR="00F8636E" w:rsidRDefault="00F863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28E74" w14:textId="77777777" w:rsidR="00F8636E" w:rsidRDefault="00F863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8B1B" w14:textId="77777777" w:rsidR="00F8636E" w:rsidRDefault="00F863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AF98F" w14:textId="77777777" w:rsidR="0079704F" w:rsidRDefault="0079704F" w:rsidP="000C0D6A">
      <w:r>
        <w:separator/>
      </w:r>
    </w:p>
  </w:footnote>
  <w:footnote w:type="continuationSeparator" w:id="0">
    <w:p w14:paraId="40CAC592" w14:textId="77777777" w:rsidR="0079704F" w:rsidRDefault="0079704F" w:rsidP="000C0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DF6D" w14:textId="77777777" w:rsidR="00F8636E" w:rsidRDefault="00F863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9743012"/>
      <w:docPartObj>
        <w:docPartGallery w:val="Watermarks"/>
        <w:docPartUnique/>
      </w:docPartObj>
    </w:sdtPr>
    <w:sdtContent>
      <w:p w14:paraId="09B1D508" w14:textId="08027308" w:rsidR="00F8636E" w:rsidRDefault="00000000">
        <w:pPr>
          <w:pStyle w:val="Header"/>
        </w:pPr>
        <w:r>
          <w:rPr>
            <w:noProof/>
          </w:rPr>
          <w:pict w14:anchorId="3B205E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1A73" w14:textId="77777777" w:rsidR="00F8636E" w:rsidRDefault="00F863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EE68AD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8EFCEB9E"/>
    <w:lvl w:ilvl="0">
      <w:numFmt w:val="decimal"/>
      <w:lvlText w:val="*"/>
      <w:lvlJc w:val="left"/>
    </w:lvl>
  </w:abstractNum>
  <w:abstractNum w:abstractNumId="4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28632780"/>
    <w:multiLevelType w:val="multilevel"/>
    <w:tmpl w:val="08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381D6CA4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44041789"/>
    <w:multiLevelType w:val="multilevel"/>
    <w:tmpl w:val="AB52D2D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5D675F"/>
    <w:multiLevelType w:val="hybridMultilevel"/>
    <w:tmpl w:val="528665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multilevel"/>
    <w:tmpl w:val="5CDA7B1C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A27160"/>
    <w:multiLevelType w:val="hybridMultilevel"/>
    <w:tmpl w:val="704C83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64CFF"/>
    <w:multiLevelType w:val="hybridMultilevel"/>
    <w:tmpl w:val="2886EC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817182327">
    <w:abstractNumId w:val="5"/>
  </w:num>
  <w:num w:numId="2" w16cid:durableId="1289778304">
    <w:abstractNumId w:val="6"/>
  </w:num>
  <w:num w:numId="3" w16cid:durableId="716515800">
    <w:abstractNumId w:val="4"/>
  </w:num>
  <w:num w:numId="4" w16cid:durableId="1184321384">
    <w:abstractNumId w:val="4"/>
  </w:num>
  <w:num w:numId="5" w16cid:durableId="1390808037">
    <w:abstractNumId w:val="4"/>
  </w:num>
  <w:num w:numId="6" w16cid:durableId="1171869361">
    <w:abstractNumId w:val="4"/>
  </w:num>
  <w:num w:numId="7" w16cid:durableId="1339966623">
    <w:abstractNumId w:val="4"/>
  </w:num>
  <w:num w:numId="8" w16cid:durableId="1326133527">
    <w:abstractNumId w:val="4"/>
  </w:num>
  <w:num w:numId="9" w16cid:durableId="1337540300">
    <w:abstractNumId w:val="4"/>
  </w:num>
  <w:num w:numId="10" w16cid:durableId="1419476862">
    <w:abstractNumId w:val="4"/>
  </w:num>
  <w:num w:numId="11" w16cid:durableId="1802727401">
    <w:abstractNumId w:val="4"/>
  </w:num>
  <w:num w:numId="12" w16cid:durableId="1020013143">
    <w:abstractNumId w:val="2"/>
  </w:num>
  <w:num w:numId="13" w16cid:durableId="937063074">
    <w:abstractNumId w:val="1"/>
  </w:num>
  <w:num w:numId="14" w16cid:durableId="1346327506">
    <w:abstractNumId w:val="1"/>
  </w:num>
  <w:num w:numId="15" w16cid:durableId="1358462806">
    <w:abstractNumId w:val="0"/>
  </w:num>
  <w:num w:numId="16" w16cid:durableId="417292967">
    <w:abstractNumId w:val="0"/>
  </w:num>
  <w:num w:numId="17" w16cid:durableId="1101146921">
    <w:abstractNumId w:val="3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 w16cid:durableId="1287004021">
    <w:abstractNumId w:val="11"/>
  </w:num>
  <w:num w:numId="19" w16cid:durableId="111898731">
    <w:abstractNumId w:val="9"/>
  </w:num>
  <w:num w:numId="20" w16cid:durableId="2083603701">
    <w:abstractNumId w:val="9"/>
  </w:num>
  <w:num w:numId="21" w16cid:durableId="609778770">
    <w:abstractNumId w:val="9"/>
  </w:num>
  <w:num w:numId="22" w16cid:durableId="781804457">
    <w:abstractNumId w:val="4"/>
  </w:num>
  <w:num w:numId="23" w16cid:durableId="1349599389">
    <w:abstractNumId w:val="4"/>
  </w:num>
  <w:num w:numId="24" w16cid:durableId="154147044">
    <w:abstractNumId w:val="4"/>
  </w:num>
  <w:num w:numId="25" w16cid:durableId="1018502287">
    <w:abstractNumId w:val="12"/>
  </w:num>
  <w:num w:numId="26" w16cid:durableId="1032614166">
    <w:abstractNumId w:val="7"/>
  </w:num>
  <w:num w:numId="27" w16cid:durableId="810440151">
    <w:abstractNumId w:val="7"/>
  </w:num>
  <w:num w:numId="28" w16cid:durableId="1458573182">
    <w:abstractNumId w:val="7"/>
  </w:num>
  <w:num w:numId="29" w16cid:durableId="15807459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0548076">
    <w:abstractNumId w:val="8"/>
  </w:num>
  <w:num w:numId="31" w16cid:durableId="859853662">
    <w:abstractNumId w:val="10"/>
  </w:num>
  <w:num w:numId="32" w16cid:durableId="20267895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F45"/>
    <w:rsid w:val="000313CE"/>
    <w:rsid w:val="000C0D6A"/>
    <w:rsid w:val="000C6308"/>
    <w:rsid w:val="000D671D"/>
    <w:rsid w:val="000E38F0"/>
    <w:rsid w:val="000F3C1B"/>
    <w:rsid w:val="001222C4"/>
    <w:rsid w:val="00126F45"/>
    <w:rsid w:val="0013399A"/>
    <w:rsid w:val="00143858"/>
    <w:rsid w:val="001F3DE8"/>
    <w:rsid w:val="001F4C1E"/>
    <w:rsid w:val="0022750C"/>
    <w:rsid w:val="002A4512"/>
    <w:rsid w:val="002C7F4E"/>
    <w:rsid w:val="003207ED"/>
    <w:rsid w:val="003A41DD"/>
    <w:rsid w:val="00474B28"/>
    <w:rsid w:val="004761B5"/>
    <w:rsid w:val="004940C2"/>
    <w:rsid w:val="004C0509"/>
    <w:rsid w:val="004C33CD"/>
    <w:rsid w:val="005220DA"/>
    <w:rsid w:val="005233AE"/>
    <w:rsid w:val="00562261"/>
    <w:rsid w:val="005A14FB"/>
    <w:rsid w:val="005F707F"/>
    <w:rsid w:val="00602BCC"/>
    <w:rsid w:val="0064784F"/>
    <w:rsid w:val="006866FB"/>
    <w:rsid w:val="006B35B9"/>
    <w:rsid w:val="00734A88"/>
    <w:rsid w:val="007876C4"/>
    <w:rsid w:val="0079704F"/>
    <w:rsid w:val="007C2919"/>
    <w:rsid w:val="007C52CF"/>
    <w:rsid w:val="0085039E"/>
    <w:rsid w:val="0089711E"/>
    <w:rsid w:val="008C43BE"/>
    <w:rsid w:val="00986241"/>
    <w:rsid w:val="009D4297"/>
    <w:rsid w:val="009F214A"/>
    <w:rsid w:val="00A419EA"/>
    <w:rsid w:val="00A637B2"/>
    <w:rsid w:val="00AB07C6"/>
    <w:rsid w:val="00AF79F3"/>
    <w:rsid w:val="00B37F5F"/>
    <w:rsid w:val="00B610AA"/>
    <w:rsid w:val="00B955B4"/>
    <w:rsid w:val="00BD4E68"/>
    <w:rsid w:val="00BD4ED3"/>
    <w:rsid w:val="00C02916"/>
    <w:rsid w:val="00C4489E"/>
    <w:rsid w:val="00CA4CED"/>
    <w:rsid w:val="00CE1546"/>
    <w:rsid w:val="00CF2119"/>
    <w:rsid w:val="00D43379"/>
    <w:rsid w:val="00D97EAF"/>
    <w:rsid w:val="00E17BE2"/>
    <w:rsid w:val="00EC20ED"/>
    <w:rsid w:val="00EF17A6"/>
    <w:rsid w:val="00F06D7A"/>
    <w:rsid w:val="00F1407B"/>
    <w:rsid w:val="00F179BF"/>
    <w:rsid w:val="00F76467"/>
    <w:rsid w:val="00F8636E"/>
    <w:rsid w:val="00F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1943C"/>
  <w15:chartTrackingRefBased/>
  <w15:docId w15:val="{1F78EC6C-DE59-4D39-815B-7FFF6D55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38F0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lang w:val="en-US" w:eastAsia="en-US"/>
    </w:rPr>
  </w:style>
  <w:style w:type="paragraph" w:styleId="Heading1">
    <w:name w:val="heading 1"/>
    <w:basedOn w:val="Normal"/>
    <w:next w:val="BodyText"/>
    <w:link w:val="Heading1Char"/>
    <w:qFormat/>
    <w:rsid w:val="000C0D6A"/>
    <w:pPr>
      <w:keepNext/>
      <w:numPr>
        <w:numId w:val="24"/>
      </w:numPr>
      <w:overflowPunct/>
      <w:autoSpaceDE/>
      <w:autoSpaceDN/>
      <w:adjustRightInd/>
      <w:spacing w:before="240" w:after="240"/>
      <w:textAlignment w:val="auto"/>
      <w:outlineLvl w:val="0"/>
    </w:pPr>
    <w:rPr>
      <w:rFonts w:eastAsia="Calibri" w:cs="Calibri"/>
      <w:b/>
      <w:caps/>
      <w:kern w:val="28"/>
      <w:sz w:val="24"/>
      <w:szCs w:val="22"/>
      <w:lang w:val="en-GB" w:eastAsia="de-DE"/>
    </w:rPr>
  </w:style>
  <w:style w:type="paragraph" w:styleId="Heading2">
    <w:name w:val="heading 2"/>
    <w:basedOn w:val="Heading1"/>
    <w:next w:val="BodyText"/>
    <w:link w:val="Heading2Char"/>
    <w:qFormat/>
    <w:rsid w:val="000C0D6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0C0D6A"/>
    <w:pPr>
      <w:keepNext/>
      <w:numPr>
        <w:ilvl w:val="2"/>
        <w:numId w:val="24"/>
      </w:numPr>
      <w:overflowPunct/>
      <w:autoSpaceDE/>
      <w:autoSpaceDN/>
      <w:adjustRightInd/>
      <w:spacing w:before="120" w:after="120"/>
      <w:textAlignment w:val="auto"/>
      <w:outlineLvl w:val="2"/>
    </w:pPr>
    <w:rPr>
      <w:rFonts w:eastAsia="Calibri" w:cs="Calibri"/>
      <w:lang w:val="en-GB" w:eastAsia="de-DE"/>
    </w:rPr>
  </w:style>
  <w:style w:type="paragraph" w:styleId="Heading4">
    <w:name w:val="heading 4"/>
    <w:basedOn w:val="Normal"/>
    <w:next w:val="BodyText"/>
    <w:rsid w:val="0089711E"/>
    <w:pPr>
      <w:keepNext/>
      <w:numPr>
        <w:ilvl w:val="3"/>
        <w:numId w:val="24"/>
      </w:numPr>
      <w:spacing w:before="240" w:after="60"/>
      <w:outlineLvl w:val="3"/>
    </w:pPr>
    <w:rPr>
      <w:i/>
      <w:lang w:eastAsia="de-DE"/>
    </w:rPr>
  </w:style>
  <w:style w:type="paragraph" w:styleId="Heading5">
    <w:name w:val="heading 5"/>
    <w:basedOn w:val="Normal"/>
    <w:next w:val="Normal"/>
    <w:rsid w:val="0089711E"/>
    <w:pPr>
      <w:numPr>
        <w:ilvl w:val="4"/>
        <w:numId w:val="24"/>
      </w:numPr>
      <w:spacing w:before="240" w:after="60"/>
      <w:outlineLvl w:val="4"/>
    </w:pPr>
    <w:rPr>
      <w:lang w:val="de-DE" w:eastAsia="de-DE"/>
    </w:rPr>
  </w:style>
  <w:style w:type="paragraph" w:styleId="Heading6">
    <w:name w:val="heading 6"/>
    <w:basedOn w:val="Normal"/>
    <w:next w:val="Normal"/>
    <w:rsid w:val="0089711E"/>
    <w:pPr>
      <w:numPr>
        <w:ilvl w:val="5"/>
        <w:numId w:val="24"/>
      </w:numPr>
      <w:spacing w:before="240" w:after="60"/>
      <w:outlineLvl w:val="5"/>
    </w:pPr>
    <w:rPr>
      <w:i/>
      <w:lang w:val="de-DE" w:eastAsia="de-DE"/>
    </w:rPr>
  </w:style>
  <w:style w:type="paragraph" w:styleId="Heading7">
    <w:name w:val="heading 7"/>
    <w:basedOn w:val="Normal"/>
    <w:next w:val="Normal"/>
    <w:rsid w:val="0089711E"/>
    <w:pPr>
      <w:numPr>
        <w:ilvl w:val="6"/>
        <w:numId w:val="24"/>
      </w:numPr>
      <w:spacing w:before="240" w:after="60"/>
      <w:outlineLvl w:val="6"/>
    </w:pPr>
    <w:rPr>
      <w:lang w:val="de-DE" w:eastAsia="de-DE"/>
    </w:rPr>
  </w:style>
  <w:style w:type="paragraph" w:styleId="Heading8">
    <w:name w:val="heading 8"/>
    <w:basedOn w:val="Normal"/>
    <w:next w:val="Normal"/>
    <w:rsid w:val="0089711E"/>
    <w:pPr>
      <w:numPr>
        <w:ilvl w:val="7"/>
        <w:numId w:val="24"/>
      </w:numPr>
      <w:spacing w:before="240" w:after="60"/>
      <w:outlineLvl w:val="7"/>
    </w:pPr>
    <w:rPr>
      <w:i/>
      <w:lang w:val="de-DE" w:eastAsia="de-DE"/>
    </w:rPr>
  </w:style>
  <w:style w:type="paragraph" w:styleId="Heading9">
    <w:name w:val="heading 9"/>
    <w:basedOn w:val="Normal"/>
    <w:next w:val="Normal"/>
    <w:rsid w:val="0089711E"/>
    <w:pPr>
      <w:numPr>
        <w:ilvl w:val="8"/>
        <w:numId w:val="24"/>
      </w:numPr>
      <w:spacing w:before="240" w:after="60"/>
      <w:outlineLvl w:val="8"/>
    </w:pPr>
    <w:rPr>
      <w:b/>
      <w:i/>
      <w:sz w:val="18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89711E"/>
    <w:pPr>
      <w:spacing w:after="60"/>
      <w:jc w:val="center"/>
      <w:outlineLvl w:val="1"/>
    </w:pPr>
    <w:rPr>
      <w:rFonts w:cs="Arial"/>
    </w:rPr>
  </w:style>
  <w:style w:type="paragraph" w:styleId="BodyTextIndent">
    <w:name w:val="Body Text Indent"/>
    <w:basedOn w:val="Normal"/>
    <w:link w:val="BodyTextIndentChar"/>
    <w:rsid w:val="000C0D6A"/>
    <w:pPr>
      <w:overflowPunct/>
      <w:autoSpaceDE/>
      <w:autoSpaceDN/>
      <w:adjustRightInd/>
      <w:spacing w:after="120"/>
      <w:ind w:left="567"/>
      <w:textAlignment w:val="auto"/>
    </w:pPr>
    <w:rPr>
      <w:rFonts w:eastAsia="Calibri" w:cs="Calibri"/>
      <w:szCs w:val="22"/>
      <w:lang w:val="en-GB" w:eastAsia="en-GB"/>
    </w:rPr>
  </w:style>
  <w:style w:type="paragraph" w:customStyle="1" w:styleId="Annex">
    <w:name w:val="Annex"/>
    <w:basedOn w:val="Heading1"/>
    <w:next w:val="Normal"/>
    <w:autoRedefine/>
    <w:rsid w:val="000C0D6A"/>
    <w:pPr>
      <w:numPr>
        <w:numId w:val="25"/>
      </w:numPr>
      <w:jc w:val="both"/>
    </w:pPr>
    <w:rPr>
      <w:snapToGrid w:val="0"/>
      <w:kern w:val="0"/>
      <w:lang w:eastAsia="en-GB"/>
    </w:rPr>
  </w:style>
  <w:style w:type="paragraph" w:styleId="BodyText">
    <w:name w:val="Body Text"/>
    <w:basedOn w:val="Normal"/>
    <w:link w:val="BodyTextChar"/>
    <w:qFormat/>
    <w:rsid w:val="000C0D6A"/>
    <w:pPr>
      <w:overflowPunct/>
      <w:autoSpaceDE/>
      <w:autoSpaceDN/>
      <w:adjustRightInd/>
      <w:spacing w:after="120"/>
      <w:jc w:val="both"/>
      <w:textAlignment w:val="auto"/>
    </w:pPr>
    <w:rPr>
      <w:rFonts w:eastAsia="Calibri" w:cs="Calibri"/>
      <w:szCs w:val="22"/>
      <w:lang w:val="en-GB" w:eastAsia="en-GB"/>
    </w:rPr>
  </w:style>
  <w:style w:type="paragraph" w:styleId="BodyText2">
    <w:name w:val="Body Text 2"/>
    <w:basedOn w:val="Normal"/>
    <w:rsid w:val="0089711E"/>
    <w:pPr>
      <w:spacing w:before="180"/>
      <w:ind w:left="720"/>
    </w:pPr>
    <w:rPr>
      <w:color w:val="000000"/>
    </w:rPr>
  </w:style>
  <w:style w:type="paragraph" w:styleId="BodyText3">
    <w:name w:val="Body Text 3"/>
    <w:basedOn w:val="Normal"/>
    <w:rsid w:val="0089711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IndentChar">
    <w:name w:val="Body Text Indent Char"/>
    <w:link w:val="BodyTextIndent"/>
    <w:rsid w:val="000C0D6A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C0D6A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Calibri"/>
      <w:szCs w:val="22"/>
      <w:lang w:val="en-GB" w:eastAsia="de-DE"/>
    </w:rPr>
  </w:style>
  <w:style w:type="character" w:customStyle="1" w:styleId="BodyTextIndent2Char">
    <w:name w:val="Body Text Indent 2 Char"/>
    <w:link w:val="BodyTextIndent2"/>
    <w:rsid w:val="000C0D6A"/>
    <w:rPr>
      <w:rFonts w:ascii="Arial" w:eastAsia="Calibri" w:hAnsi="Arial" w:cs="Calibri"/>
      <w:sz w:val="22"/>
      <w:szCs w:val="22"/>
      <w:lang w:eastAsia="de-DE"/>
    </w:rPr>
  </w:style>
  <w:style w:type="paragraph" w:styleId="Footer">
    <w:name w:val="footer"/>
    <w:basedOn w:val="Normal"/>
    <w:rsid w:val="0089711E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89711E"/>
    <w:rPr>
      <w:vertAlign w:val="superscript"/>
    </w:rPr>
  </w:style>
  <w:style w:type="paragraph" w:styleId="FootnoteText">
    <w:name w:val="footnote text"/>
    <w:basedOn w:val="Normal"/>
    <w:semiHidden/>
    <w:rsid w:val="0089711E"/>
    <w:rPr>
      <w:sz w:val="20"/>
    </w:rPr>
  </w:style>
  <w:style w:type="paragraph" w:styleId="Header">
    <w:name w:val="header"/>
    <w:basedOn w:val="Normal"/>
    <w:rsid w:val="0089711E"/>
    <w:pPr>
      <w:tabs>
        <w:tab w:val="center" w:pos="4153"/>
        <w:tab w:val="right" w:pos="8306"/>
      </w:tabs>
    </w:pPr>
  </w:style>
  <w:style w:type="character" w:styleId="Hyperlink">
    <w:name w:val="Hyperlink"/>
    <w:rsid w:val="0089711E"/>
    <w:rPr>
      <w:color w:val="0000FF"/>
      <w:u w:val="single"/>
    </w:rPr>
  </w:style>
  <w:style w:type="paragraph" w:customStyle="1" w:styleId="List1">
    <w:name w:val="List 1"/>
    <w:basedOn w:val="Normal"/>
    <w:qFormat/>
    <w:rsid w:val="000C0D6A"/>
    <w:pPr>
      <w:numPr>
        <w:numId w:val="28"/>
      </w:numPr>
      <w:overflowPunct/>
      <w:autoSpaceDE/>
      <w:autoSpaceDN/>
      <w:adjustRightInd/>
      <w:spacing w:after="120"/>
      <w:jc w:val="both"/>
      <w:textAlignment w:val="auto"/>
    </w:pPr>
    <w:rPr>
      <w:rFonts w:eastAsia="MS Mincho" w:cs="Calibri"/>
      <w:szCs w:val="22"/>
      <w:lang w:val="en-GB" w:eastAsia="ja-JP"/>
    </w:rPr>
  </w:style>
  <w:style w:type="paragraph" w:customStyle="1" w:styleId="List1indent1">
    <w:name w:val="List 1 indent 1"/>
    <w:basedOn w:val="Normal"/>
    <w:qFormat/>
    <w:rsid w:val="000C0D6A"/>
    <w:pPr>
      <w:numPr>
        <w:ilvl w:val="1"/>
        <w:numId w:val="28"/>
      </w:numPr>
      <w:overflowPunct/>
      <w:autoSpaceDE/>
      <w:autoSpaceDN/>
      <w:adjustRightInd/>
      <w:spacing w:after="120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List1indent1text">
    <w:name w:val="List 1 indent 1 text"/>
    <w:basedOn w:val="Normal"/>
    <w:rsid w:val="0022750C"/>
    <w:pPr>
      <w:overflowPunct/>
      <w:autoSpaceDE/>
      <w:autoSpaceDN/>
      <w:adjustRightInd/>
      <w:ind w:left="601"/>
      <w:jc w:val="both"/>
      <w:textAlignment w:val="auto"/>
    </w:pPr>
    <w:rPr>
      <w:rFonts w:eastAsia="Calibri" w:cs="Arial"/>
      <w:szCs w:val="22"/>
      <w:lang w:val="en-GB" w:eastAsia="fr-FR"/>
    </w:rPr>
  </w:style>
  <w:style w:type="character" w:styleId="PageNumber">
    <w:name w:val="page number"/>
    <w:basedOn w:val="DefaultParagraphFont"/>
    <w:rsid w:val="0089711E"/>
  </w:style>
  <w:style w:type="paragraph" w:styleId="Title">
    <w:name w:val="Title"/>
    <w:basedOn w:val="Normal"/>
    <w:qFormat/>
    <w:rsid w:val="0089711E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89711E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89711E"/>
    <w:pPr>
      <w:spacing w:before="240"/>
    </w:pPr>
    <w:rPr>
      <w:b/>
      <w:bCs/>
      <w:sz w:val="20"/>
    </w:rPr>
  </w:style>
  <w:style w:type="paragraph" w:styleId="TOC3">
    <w:name w:val="toc 3"/>
    <w:basedOn w:val="Normal"/>
    <w:next w:val="Normal"/>
    <w:autoRedefine/>
    <w:semiHidden/>
    <w:rsid w:val="0089711E"/>
    <w:pPr>
      <w:ind w:left="240"/>
    </w:pPr>
    <w:rPr>
      <w:sz w:val="20"/>
    </w:rPr>
  </w:style>
  <w:style w:type="paragraph" w:styleId="TOC4">
    <w:name w:val="toc 4"/>
    <w:basedOn w:val="Normal"/>
    <w:next w:val="Normal"/>
    <w:autoRedefine/>
    <w:semiHidden/>
    <w:rsid w:val="0089711E"/>
    <w:pPr>
      <w:ind w:left="48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89711E"/>
    <w:pPr>
      <w:ind w:left="720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89711E"/>
    <w:pPr>
      <w:ind w:left="960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89711E"/>
    <w:pPr>
      <w:ind w:left="1200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89711E"/>
    <w:pPr>
      <w:ind w:left="1440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89711E"/>
    <w:pPr>
      <w:ind w:left="1680"/>
    </w:pPr>
    <w:rPr>
      <w:sz w:val="20"/>
    </w:rPr>
  </w:style>
  <w:style w:type="paragraph" w:customStyle="1" w:styleId="List1indent2">
    <w:name w:val="List 1 indent 2"/>
    <w:basedOn w:val="Normal"/>
    <w:rsid w:val="000C0D6A"/>
    <w:pPr>
      <w:widowControl w:val="0"/>
      <w:numPr>
        <w:ilvl w:val="2"/>
        <w:numId w:val="28"/>
      </w:numPr>
      <w:overflowPunct/>
      <w:spacing w:after="120"/>
      <w:jc w:val="both"/>
      <w:textAlignment w:val="auto"/>
    </w:pPr>
    <w:rPr>
      <w:rFonts w:eastAsia="Calibri" w:cs="Arial"/>
      <w:sz w:val="20"/>
      <w:lang w:val="en-GB" w:eastAsia="en-GB"/>
    </w:rPr>
  </w:style>
  <w:style w:type="character" w:customStyle="1" w:styleId="BodyTextChar">
    <w:name w:val="Body Text Char"/>
    <w:link w:val="BodyText"/>
    <w:rsid w:val="000C0D6A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22750C"/>
    <w:pPr>
      <w:numPr>
        <w:numId w:val="21"/>
      </w:numPr>
      <w:overflowPunct/>
      <w:autoSpaceDE/>
      <w:autoSpaceDN/>
      <w:adjustRightInd/>
      <w:jc w:val="both"/>
      <w:textAlignment w:val="auto"/>
      <w:outlineLvl w:val="0"/>
    </w:pPr>
    <w:rPr>
      <w:rFonts w:eastAsia="Calibri" w:cs="Arial"/>
      <w:szCs w:val="22"/>
      <w:lang w:val="en-GB" w:eastAsia="en-GB"/>
    </w:rPr>
  </w:style>
  <w:style w:type="paragraph" w:customStyle="1" w:styleId="Bullet1text">
    <w:name w:val="Bullet 1 text"/>
    <w:basedOn w:val="Normal"/>
    <w:rsid w:val="000C0D6A"/>
    <w:pPr>
      <w:suppressAutoHyphens/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0C0D6A"/>
    <w:pPr>
      <w:numPr>
        <w:ilvl w:val="1"/>
        <w:numId w:val="21"/>
      </w:numPr>
      <w:overflowPunct/>
      <w:autoSpaceDE/>
      <w:autoSpaceDN/>
      <w:adjustRightInd/>
      <w:spacing w:after="120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Bullet2text">
    <w:name w:val="Bullet 2 text"/>
    <w:basedOn w:val="Normal"/>
    <w:rsid w:val="000C0D6A"/>
    <w:pPr>
      <w:suppressAutoHyphens/>
      <w:overflowPunct/>
      <w:autoSpaceDE/>
      <w:autoSpaceDN/>
      <w:adjustRightInd/>
      <w:spacing w:after="120"/>
      <w:ind w:left="1701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customStyle="1" w:styleId="Bullet3">
    <w:name w:val="Bullet 3"/>
    <w:basedOn w:val="Normal"/>
    <w:rsid w:val="000C0D6A"/>
    <w:pPr>
      <w:numPr>
        <w:ilvl w:val="2"/>
        <w:numId w:val="21"/>
      </w:numPr>
      <w:overflowPunct/>
      <w:autoSpaceDE/>
      <w:autoSpaceDN/>
      <w:adjustRightInd/>
      <w:spacing w:after="60"/>
      <w:jc w:val="both"/>
      <w:textAlignment w:val="auto"/>
    </w:pPr>
    <w:rPr>
      <w:rFonts w:eastAsia="Calibri" w:cs="Arial"/>
      <w:sz w:val="20"/>
      <w:szCs w:val="22"/>
      <w:lang w:val="en-GB" w:eastAsia="en-GB"/>
    </w:rPr>
  </w:style>
  <w:style w:type="paragraph" w:customStyle="1" w:styleId="Bullet3text">
    <w:name w:val="Bullet 3 text"/>
    <w:basedOn w:val="Normal"/>
    <w:rsid w:val="000C0D6A"/>
    <w:pPr>
      <w:suppressAutoHyphens/>
      <w:overflowPunct/>
      <w:autoSpaceDE/>
      <w:autoSpaceDN/>
      <w:adjustRightInd/>
      <w:spacing w:after="60"/>
      <w:ind w:left="2268"/>
      <w:textAlignment w:val="auto"/>
    </w:pPr>
    <w:rPr>
      <w:rFonts w:eastAsia="Calibri" w:cs="Arial"/>
      <w:sz w:val="20"/>
      <w:szCs w:val="22"/>
      <w:lang w:val="en-GB" w:eastAsia="en-GB"/>
    </w:rPr>
  </w:style>
  <w:style w:type="character" w:customStyle="1" w:styleId="Heading1Char">
    <w:name w:val="Heading 1 Char"/>
    <w:link w:val="Heading1"/>
    <w:rsid w:val="000C0D6A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0C0D6A"/>
    <w:rPr>
      <w:rFonts w:ascii="Arial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0C0D6A"/>
    <w:rPr>
      <w:rFonts w:ascii="Arial" w:eastAsia="Calibri" w:hAnsi="Arial" w:cs="Calibri"/>
      <w:sz w:val="22"/>
      <w:lang w:eastAsia="de-DE"/>
    </w:rPr>
  </w:style>
  <w:style w:type="paragraph" w:customStyle="1" w:styleId="List1indent2text">
    <w:name w:val="List 1 indent 2 text"/>
    <w:basedOn w:val="Normal"/>
    <w:rsid w:val="000C0D6A"/>
    <w:pPr>
      <w:overflowPunct/>
      <w:autoSpaceDE/>
      <w:autoSpaceDN/>
      <w:adjustRightInd/>
      <w:spacing w:after="60"/>
      <w:ind w:left="1701"/>
      <w:jc w:val="both"/>
      <w:textAlignment w:val="auto"/>
    </w:pPr>
    <w:rPr>
      <w:rFonts w:eastAsia="Calibri" w:cs="Arial"/>
      <w:sz w:val="20"/>
      <w:szCs w:val="22"/>
      <w:lang w:val="en-GB" w:eastAsia="en-GB"/>
    </w:rPr>
  </w:style>
  <w:style w:type="paragraph" w:customStyle="1" w:styleId="List1indenttext">
    <w:name w:val="List 1 indent text"/>
    <w:basedOn w:val="Normal"/>
    <w:rsid w:val="000C0D6A"/>
    <w:pPr>
      <w:overflowPunct/>
      <w:autoSpaceDE/>
      <w:autoSpaceDN/>
      <w:adjustRightInd/>
      <w:spacing w:after="120"/>
      <w:ind w:left="1134"/>
      <w:jc w:val="both"/>
      <w:textAlignment w:val="auto"/>
    </w:pPr>
    <w:rPr>
      <w:rFonts w:eastAsia="Calibri" w:cs="Calibri"/>
      <w:lang w:val="en-GB" w:eastAsia="en-GB"/>
    </w:rPr>
  </w:style>
  <w:style w:type="paragraph" w:customStyle="1" w:styleId="List1text">
    <w:name w:val="List 1 text"/>
    <w:basedOn w:val="Normal"/>
    <w:qFormat/>
    <w:rsid w:val="000C0D6A"/>
    <w:pPr>
      <w:overflowPunct/>
      <w:autoSpaceDE/>
      <w:autoSpaceDN/>
      <w:adjustRightInd/>
      <w:spacing w:after="120"/>
      <w:ind w:left="567"/>
      <w:jc w:val="both"/>
      <w:textAlignment w:val="auto"/>
    </w:pPr>
    <w:rPr>
      <w:rFonts w:eastAsia="Calibri" w:cs="Arial"/>
      <w:szCs w:val="22"/>
      <w:lang w:val="en-GB" w:eastAsia="en-GB"/>
    </w:rPr>
  </w:style>
  <w:style w:type="paragraph" w:styleId="BalloonText">
    <w:name w:val="Balloon Text"/>
    <w:basedOn w:val="Normal"/>
    <w:link w:val="BalloonTextChar"/>
    <w:rsid w:val="00474B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74B28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Revision">
    <w:name w:val="Revision"/>
    <w:hidden/>
    <w:uiPriority w:val="99"/>
    <w:semiHidden/>
    <w:rsid w:val="005220DA"/>
    <w:rPr>
      <w:rFonts w:ascii="Arial" w:eastAsia="Times New Roman" w:hAnsi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\Downloads\Proposal%20Form%20for%20a%20workshop%20or%20seminar_AUG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11D37D-0B35-4538-9878-21BB9E326AE9}"/>
</file>

<file path=customXml/itemProps2.xml><?xml version="1.0" encoding="utf-8"?>
<ds:datastoreItem xmlns:ds="http://schemas.openxmlformats.org/officeDocument/2006/customXml" ds:itemID="{C29614D8-2372-45A8-8FFD-1A110BE34485}"/>
</file>

<file path=docProps/app.xml><?xml version="1.0" encoding="utf-8"?>
<Properties xmlns="http://schemas.openxmlformats.org/officeDocument/2006/extended-properties" xmlns:vt="http://schemas.openxmlformats.org/officeDocument/2006/docPropsVTypes">
  <Template>Proposal Form for a workshop or seminar_AUG17.dot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LONG RANGE TRACKING OF VESSELS – SEMINAR PROPOSAL</vt:lpstr>
      <vt:lpstr>LONG RANGE TRACKING OF VESSELS – SEMINAR PROPOSAL</vt:lpstr>
    </vt:vector>
  </TitlesOfParts>
  <Company>IALA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LONG RANGE TRACKING OF VESSELS – SEMINAR PROPOSAL</dc:title>
  <dc:subject/>
  <dc:creator>Trainor, Neil</dc:creator>
  <cp:keywords/>
  <cp:lastModifiedBy>Tom Southall</cp:lastModifiedBy>
  <cp:revision>9</cp:revision>
  <dcterms:created xsi:type="dcterms:W3CDTF">2023-08-16T21:31:00Z</dcterms:created>
  <dcterms:modified xsi:type="dcterms:W3CDTF">2023-08-24T17:57:00Z</dcterms:modified>
</cp:coreProperties>
</file>