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41342" w14:textId="1E074994" w:rsidR="00AC6559" w:rsidRPr="00CA70B6" w:rsidRDefault="00AC6559" w:rsidP="00CA70B6">
      <w:pPr>
        <w:pStyle w:val="Heading1"/>
        <w:rPr>
          <w:lang w:val="es-ES"/>
        </w:rPr>
      </w:pPr>
      <w:bookmarkStart w:id="0" w:name="_GoBack"/>
      <w:bookmarkEnd w:id="0"/>
      <w:r w:rsidRPr="008C34D6">
        <w:rPr>
          <w:rFonts w:ascii="Arial" w:hAnsi="Arial"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365A34A6" wp14:editId="12B3A538">
            <wp:simplePos x="0" y="0"/>
            <wp:positionH relativeFrom="column">
              <wp:posOffset>-5080</wp:posOffset>
            </wp:positionH>
            <wp:positionV relativeFrom="paragraph">
              <wp:posOffset>-606425</wp:posOffset>
            </wp:positionV>
            <wp:extent cx="902970" cy="638351"/>
            <wp:effectExtent l="0" t="0" r="0" b="9525"/>
            <wp:wrapNone/>
            <wp:docPr id="3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ALA_LogoVerti_Blu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38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Briefing Note </w:t>
      </w:r>
      <w:r w:rsidR="00CA70B6">
        <w:t xml:space="preserve">to </w:t>
      </w:r>
      <w:r>
        <w:t xml:space="preserve">ITU-R WP 5B Representatives </w:t>
      </w:r>
      <w:r w:rsidR="00CA70B6">
        <w:t>–</w:t>
      </w:r>
      <w:r>
        <w:t xml:space="preserve"> digital maritime communications </w:t>
      </w:r>
    </w:p>
    <w:p w14:paraId="42D1F080" w14:textId="44F5261E" w:rsidR="0075141F" w:rsidRPr="00775A78" w:rsidRDefault="00CB34BA" w:rsidP="00AB02FB">
      <w:pPr>
        <w:pStyle w:val="Heading4"/>
        <w:spacing w:beforeLines="0" w:before="120"/>
        <w:ind w:left="283" w:hanging="357"/>
        <w:contextualSpacing w:val="0"/>
      </w:pPr>
      <w:r>
        <w:t>BACKGROUND</w:t>
      </w:r>
    </w:p>
    <w:p w14:paraId="62AB7949" w14:textId="79044484" w:rsidR="00151415" w:rsidRDefault="00151415" w:rsidP="00AB02FB">
      <w:pPr>
        <w:spacing w:beforeLines="0" w:before="60"/>
        <w:ind w:left="284"/>
      </w:pPr>
      <w:r>
        <w:t>IALA, through the work of the experts of the Communications Working Group of the IALA ENAV Committee,</w:t>
      </w:r>
      <w:r w:rsidR="00B26F5A">
        <w:t xml:space="preserve"> continues to advance its work to create the VHF Data Exchange System (VDES) to provide the first world-wide standard communication cha</w:t>
      </w:r>
      <w:r>
        <w:t xml:space="preserve">nnel to support e-Navigation.  In addition, IALA continues to provide input on AIS developments, including technical clarifications for ITU-R M.1371.  </w:t>
      </w:r>
    </w:p>
    <w:p w14:paraId="23E2082F" w14:textId="7DDDDD35" w:rsidR="00151415" w:rsidRDefault="00151415" w:rsidP="00AB02FB">
      <w:pPr>
        <w:spacing w:beforeLines="0" w:before="60"/>
        <w:ind w:left="284"/>
      </w:pPr>
      <w:r>
        <w:t xml:space="preserve">At the recent meeting of the </w:t>
      </w:r>
      <w:r w:rsidR="00E07D19">
        <w:t xml:space="preserve">IALA </w:t>
      </w:r>
      <w:r w:rsidR="00103D01">
        <w:t>Committees</w:t>
      </w:r>
      <w:r>
        <w:t xml:space="preserve"> </w:t>
      </w:r>
      <w:r w:rsidR="00DC4C65">
        <w:t xml:space="preserve">documents were reviewed and agreed for forwarding to the next ITU WP 5B meeting, </w:t>
      </w:r>
      <w:r>
        <w:t>to be held in Geneva, Switzerland, 0</w:t>
      </w:r>
      <w:r w:rsidR="00B65DE9">
        <w:t>6</w:t>
      </w:r>
      <w:r>
        <w:t>-1</w:t>
      </w:r>
      <w:r w:rsidR="00B65DE9">
        <w:t xml:space="preserve">7 </w:t>
      </w:r>
      <w:r>
        <w:t>November, 201</w:t>
      </w:r>
      <w:r w:rsidR="00B65DE9">
        <w:t>7</w:t>
      </w:r>
      <w:r>
        <w:t xml:space="preserve">.  </w:t>
      </w:r>
    </w:p>
    <w:p w14:paraId="69DCB99E" w14:textId="3D2DF398" w:rsidR="00151415" w:rsidRDefault="00151415" w:rsidP="00AB02FB">
      <w:pPr>
        <w:spacing w:beforeLines="0" w:before="60"/>
        <w:ind w:left="284"/>
      </w:pPr>
      <w:r>
        <w:t xml:space="preserve">This briefing note is to bring your attention to the documents in advance of the meeting.  </w:t>
      </w:r>
    </w:p>
    <w:p w14:paraId="3F2BCDFF" w14:textId="03FF245C" w:rsidR="00151415" w:rsidRDefault="00151415" w:rsidP="00AB02FB">
      <w:pPr>
        <w:pStyle w:val="Heading4"/>
        <w:spacing w:beforeLines="0" w:before="120"/>
        <w:ind w:left="283" w:hanging="357"/>
        <w:contextualSpacing w:val="0"/>
      </w:pPr>
      <w:r>
        <w:t xml:space="preserve">Documents </w:t>
      </w:r>
      <w:r w:rsidR="00E07D19">
        <w:t>FOR WP5B</w:t>
      </w:r>
      <w:r w:rsidR="00103D01">
        <w:t xml:space="preserve"> – Novem</w:t>
      </w:r>
      <w:r w:rsidR="00E25BBE">
        <w:t>B</w:t>
      </w:r>
      <w:r w:rsidR="00103D01">
        <w:t>er 2017 meeting</w:t>
      </w:r>
      <w:r>
        <w:t xml:space="preserve"> </w:t>
      </w:r>
    </w:p>
    <w:p w14:paraId="60C40E84" w14:textId="54E59E08" w:rsidR="00151415" w:rsidRDefault="00151415" w:rsidP="00AB02FB">
      <w:pPr>
        <w:spacing w:beforeLines="0" w:before="80"/>
        <w:ind w:left="284"/>
      </w:pPr>
      <w:r>
        <w:t xml:space="preserve">IALA have </w:t>
      </w:r>
      <w:r w:rsidR="00E07D19">
        <w:t>prepared</w:t>
      </w:r>
      <w:r>
        <w:t xml:space="preserve"> the following documents for consideration by</w:t>
      </w:r>
      <w:r w:rsidR="005054FE">
        <w:t xml:space="preserve"> ITU-R WP5B</w:t>
      </w:r>
      <w:r>
        <w:t>:</w:t>
      </w:r>
    </w:p>
    <w:p w14:paraId="3FF0DBED" w14:textId="3324D6F8" w:rsidR="00151415" w:rsidRDefault="00ED100E" w:rsidP="00AB02FB">
      <w:pPr>
        <w:pStyle w:val="ListParagraph"/>
        <w:numPr>
          <w:ilvl w:val="0"/>
          <w:numId w:val="15"/>
        </w:numPr>
        <w:tabs>
          <w:tab w:val="left" w:pos="851"/>
        </w:tabs>
        <w:spacing w:beforeLines="0" w:before="80"/>
        <w:ind w:left="284"/>
        <w:contextualSpacing w:val="0"/>
      </w:pPr>
      <w:r>
        <w:t xml:space="preserve">Liaison note on the Identification and Categorization of Autonomous Maritime Radio Devices (AMRD) operating in the frequency band 156-162.05 </w:t>
      </w:r>
      <w:proofErr w:type="spellStart"/>
      <w:r>
        <w:t>MHz.</w:t>
      </w:r>
      <w:proofErr w:type="spellEnd"/>
      <w:r>
        <w:t xml:space="preserve">  </w:t>
      </w:r>
    </w:p>
    <w:p w14:paraId="2757AE87" w14:textId="511D2C51" w:rsidR="00ED100E" w:rsidRDefault="00ED100E" w:rsidP="00AB02FB">
      <w:pPr>
        <w:tabs>
          <w:tab w:val="left" w:pos="851"/>
        </w:tabs>
        <w:spacing w:beforeLines="0" w:before="60"/>
        <w:ind w:left="284"/>
      </w:pPr>
      <w:r w:rsidRPr="00ED100E">
        <w:rPr>
          <w:b/>
          <w:u w:val="single"/>
        </w:rPr>
        <w:t>Comments</w:t>
      </w:r>
      <w:r>
        <w:t xml:space="preserve">:  This document notes the work of ITU-R WP 5B on this item, and </w:t>
      </w:r>
      <w:r w:rsidR="005054FE">
        <w:t>the related request from ITU regarding innovative sol</w:t>
      </w:r>
      <w:r w:rsidR="00BE5D4F">
        <w:t>utions to mark Mobile AtoN (</w:t>
      </w:r>
      <w:proofErr w:type="spellStart"/>
      <w:r w:rsidR="00BE5D4F">
        <w:t>MAto</w:t>
      </w:r>
      <w:r w:rsidR="005054FE">
        <w:t>N</w:t>
      </w:r>
      <w:proofErr w:type="spellEnd"/>
      <w:r w:rsidR="005054FE">
        <w:t xml:space="preserve">). </w:t>
      </w:r>
      <w:r w:rsidR="00AC6559" w:rsidRPr="00E25BBE">
        <w:t>Th</w:t>
      </w:r>
      <w:r w:rsidR="00E25BBE" w:rsidRPr="00E25BBE">
        <w:t>is</w:t>
      </w:r>
      <w:r w:rsidR="00AC6559" w:rsidRPr="00E25BBE">
        <w:t xml:space="preserve"> </w:t>
      </w:r>
      <w:r w:rsidR="005054FE" w:rsidRPr="00E25BBE">
        <w:t xml:space="preserve">provides </w:t>
      </w:r>
      <w:r w:rsidR="00E25BBE" w:rsidRPr="00E25BBE">
        <w:t>information</w:t>
      </w:r>
      <w:r w:rsidR="005054FE" w:rsidRPr="00E25BBE">
        <w:t xml:space="preserve"> on the work of IALA towards </w:t>
      </w:r>
      <w:r w:rsidR="00E25BBE" w:rsidRPr="00E25BBE">
        <w:t xml:space="preserve">developing </w:t>
      </w:r>
      <w:r w:rsidRPr="00E25BBE">
        <w:t>new guid</w:t>
      </w:r>
      <w:r w:rsidR="00E25BBE" w:rsidRPr="00E25BBE">
        <w:t>ance</w:t>
      </w:r>
      <w:r w:rsidRPr="00E25BBE">
        <w:t xml:space="preserve"> for the marking and</w:t>
      </w:r>
      <w:r>
        <w:t xml:space="preserve"> u</w:t>
      </w:r>
      <w:r w:rsidR="00AC6559">
        <w:t>se of mobile aids to navigation</w:t>
      </w:r>
      <w:r>
        <w:t xml:space="preserve">.  </w:t>
      </w:r>
    </w:p>
    <w:p w14:paraId="0EC23E4A" w14:textId="12978533" w:rsidR="005054FE" w:rsidRDefault="00ED100E" w:rsidP="00AB02FB">
      <w:pPr>
        <w:tabs>
          <w:tab w:val="left" w:pos="851"/>
        </w:tabs>
        <w:spacing w:beforeLines="0" w:before="60"/>
        <w:ind w:left="284"/>
      </w:pPr>
      <w:r>
        <w:rPr>
          <w:b/>
          <w:u w:val="single"/>
        </w:rPr>
        <w:t>Desired outcome</w:t>
      </w:r>
      <w:r w:rsidRPr="00ED100E">
        <w:t>:</w:t>
      </w:r>
      <w:r>
        <w:t xml:space="preserve">  </w:t>
      </w:r>
      <w:r w:rsidR="00AC6559">
        <w:t>To</w:t>
      </w:r>
      <w:r>
        <w:t xml:space="preserve"> highlight the work of IALA on similar matters, and request that IALA be kept informed of developments regarding AMRDs.  </w:t>
      </w:r>
      <w:r w:rsidR="005054FE">
        <w:t xml:space="preserve">Note the possibility of developing a proposed new AIS message to address </w:t>
      </w:r>
      <w:proofErr w:type="spellStart"/>
      <w:r w:rsidR="005054FE">
        <w:t>MAtoN</w:t>
      </w:r>
      <w:proofErr w:type="spellEnd"/>
      <w:r w:rsidR="005054FE">
        <w:t xml:space="preserve">, which could be discussed once the IALA recommendation and guideline on AMRD, including </w:t>
      </w:r>
      <w:proofErr w:type="spellStart"/>
      <w:r w:rsidR="005054FE">
        <w:t>MAtoN</w:t>
      </w:r>
      <w:proofErr w:type="spellEnd"/>
      <w:r w:rsidR="005054FE">
        <w:t xml:space="preserve">, is completed and agreed. </w:t>
      </w:r>
    </w:p>
    <w:p w14:paraId="169A88F2" w14:textId="28AA30CD" w:rsidR="00ED100E" w:rsidRDefault="00ED100E" w:rsidP="00AB02FB">
      <w:pPr>
        <w:pStyle w:val="ListParagraph"/>
        <w:numPr>
          <w:ilvl w:val="0"/>
          <w:numId w:val="15"/>
        </w:numPr>
        <w:tabs>
          <w:tab w:val="left" w:pos="851"/>
        </w:tabs>
        <w:ind w:left="284"/>
        <w:contextualSpacing w:val="0"/>
      </w:pPr>
      <w:r>
        <w:t>Liaison note on the future revision of ITU Recommendation ITU-R M.1371-5</w:t>
      </w:r>
    </w:p>
    <w:p w14:paraId="6826F0A9" w14:textId="7EDE2D6C" w:rsidR="00ED100E" w:rsidRDefault="00ED100E" w:rsidP="00AB02FB">
      <w:pPr>
        <w:tabs>
          <w:tab w:val="left" w:pos="851"/>
        </w:tabs>
        <w:spacing w:beforeLines="0" w:before="60"/>
        <w:ind w:left="284"/>
      </w:pPr>
      <w:r w:rsidRPr="00ED100E">
        <w:rPr>
          <w:b/>
          <w:u w:val="single"/>
        </w:rPr>
        <w:t>Comments</w:t>
      </w:r>
      <w:r>
        <w:t xml:space="preserve">: </w:t>
      </w:r>
      <w:r w:rsidR="005054FE">
        <w:t xml:space="preserve">Following the liaison from IALA at the November 2016 ITU WP5B meeting, ITU-R M.1371-5 is available for amendment. </w:t>
      </w:r>
      <w:r>
        <w:t xml:space="preserve"> IALA </w:t>
      </w:r>
      <w:r w:rsidR="005054FE">
        <w:t xml:space="preserve">has identified proposed </w:t>
      </w:r>
      <w:r w:rsidR="00DC4C65">
        <w:t xml:space="preserve">editorial and technical </w:t>
      </w:r>
      <w:r w:rsidR="005054FE">
        <w:t>changes to ITU-R M.1371-5</w:t>
      </w:r>
      <w:r w:rsidR="00DC4C65">
        <w:t xml:space="preserve">, for review at the ITU WP5B November 2017 meeting.   </w:t>
      </w:r>
    </w:p>
    <w:p w14:paraId="241EFA4C" w14:textId="2AAA3F54" w:rsidR="00ED100E" w:rsidRDefault="00ED100E" w:rsidP="00AB02FB">
      <w:pPr>
        <w:tabs>
          <w:tab w:val="left" w:pos="851"/>
        </w:tabs>
        <w:spacing w:beforeLines="0" w:before="60"/>
        <w:ind w:left="284"/>
      </w:pPr>
      <w:r w:rsidRPr="00ED100E">
        <w:rPr>
          <w:b/>
          <w:u w:val="single"/>
        </w:rPr>
        <w:t>Desired outcome</w:t>
      </w:r>
      <w:r>
        <w:t xml:space="preserve">:  </w:t>
      </w:r>
      <w:r w:rsidR="00CA70B6">
        <w:t>T</w:t>
      </w:r>
      <w:r>
        <w:t>hat</w:t>
      </w:r>
      <w:r w:rsidR="00DC4C65">
        <w:t xml:space="preserve"> the proposed changes to ITU-R M.1371-5 be agreed at ITU WP5B, and implemented in the next editions of ITU-R M.1371</w:t>
      </w:r>
      <w:r>
        <w:t xml:space="preserve">.  </w:t>
      </w:r>
    </w:p>
    <w:p w14:paraId="0E7D2ECE" w14:textId="62FCE7D2" w:rsidR="00ED100E" w:rsidRDefault="00357D49" w:rsidP="00AB02FB">
      <w:pPr>
        <w:pStyle w:val="ListParagraph"/>
        <w:numPr>
          <w:ilvl w:val="0"/>
          <w:numId w:val="15"/>
        </w:numPr>
        <w:tabs>
          <w:tab w:val="left" w:pos="851"/>
        </w:tabs>
        <w:ind w:left="284"/>
        <w:contextualSpacing w:val="0"/>
      </w:pPr>
      <w:r>
        <w:t>Liaison note – working document towards a preliminary draft new report</w:t>
      </w:r>
      <w:r w:rsidR="00DC4C65">
        <w:t xml:space="preserve"> (PDNR)</w:t>
      </w:r>
      <w:r>
        <w:t xml:space="preserve"> ITU-R M.[VDES-SAT].</w:t>
      </w:r>
    </w:p>
    <w:p w14:paraId="7201CCCB" w14:textId="5ADB91B3" w:rsidR="00AB02FB" w:rsidRDefault="00357D49" w:rsidP="00AB02FB">
      <w:pPr>
        <w:tabs>
          <w:tab w:val="left" w:pos="851"/>
        </w:tabs>
        <w:spacing w:beforeLines="0" w:before="60"/>
        <w:ind w:left="284"/>
      </w:pPr>
      <w:r w:rsidRPr="00AC6559">
        <w:rPr>
          <w:b/>
          <w:u w:val="single"/>
        </w:rPr>
        <w:t>Comments</w:t>
      </w:r>
      <w:r>
        <w:t xml:space="preserve">: </w:t>
      </w:r>
      <w:r w:rsidR="00DC4C65">
        <w:t xml:space="preserve">The </w:t>
      </w:r>
      <w:r>
        <w:t>World Radio Conference 2015 (WRC-15) approved the designation of frequencies for the terrestrial service component of VDES (VDE-TER</w:t>
      </w:r>
      <w:r w:rsidR="00103D01">
        <w:t>) but</w:t>
      </w:r>
      <w:r>
        <w:t xml:space="preserve"> expressed concerning the potential conflict between the satellite service component of VDES (VDE-SAT) and other </w:t>
      </w:r>
      <w:r w:rsidR="00AB02FB">
        <w:t xml:space="preserve">services in the same frequency band, and adjacent frequency bands. </w:t>
      </w:r>
      <w:r w:rsidR="00103D01">
        <w:t>The</w:t>
      </w:r>
      <w:r>
        <w:t xml:space="preserve"> decision to designate frequencies for VDE-SAT </w:t>
      </w:r>
      <w:r w:rsidR="00CA70B6">
        <w:t xml:space="preserve">was deferred </w:t>
      </w:r>
      <w:r>
        <w:t xml:space="preserve">until WRC-19, subject to further studies including consideration of other </w:t>
      </w:r>
      <w:r w:rsidR="00103D01">
        <w:t xml:space="preserve">optional frequency selections. </w:t>
      </w:r>
      <w:r w:rsidR="00CA70B6">
        <w:t>IALA provid</w:t>
      </w:r>
      <w:r w:rsidR="00DC4C65">
        <w:t>ed</w:t>
      </w:r>
      <w:r w:rsidR="00CA70B6">
        <w:t xml:space="preserve"> an update on </w:t>
      </w:r>
      <w:r w:rsidR="00103D01">
        <w:t>the studies for VDE-SAT to ITU WP5B, November 2016</w:t>
      </w:r>
      <w:r w:rsidR="00AB02FB">
        <w:t>, where f</w:t>
      </w:r>
      <w:r w:rsidR="00103D01">
        <w:t xml:space="preserve">urther concerns were raised. </w:t>
      </w:r>
      <w:r w:rsidR="00DC4C65">
        <w:t xml:space="preserve">All concerns raised have been taken into account </w:t>
      </w:r>
      <w:r w:rsidR="00103D01">
        <w:t xml:space="preserve">and carefully studied by IALA. </w:t>
      </w:r>
      <w:r w:rsidR="00DC4C65">
        <w:t xml:space="preserve">The document being provided to ITU WP5B (November 2017 meeting) includes proposed additions and modifications to the working document.  </w:t>
      </w:r>
    </w:p>
    <w:p w14:paraId="05EA9EBE" w14:textId="0CB711EB" w:rsidR="00AB02FB" w:rsidRDefault="00357D49" w:rsidP="00AB02FB">
      <w:pPr>
        <w:tabs>
          <w:tab w:val="left" w:pos="851"/>
        </w:tabs>
        <w:spacing w:beforeLines="0" w:before="60"/>
        <w:ind w:left="284"/>
      </w:pPr>
      <w:r w:rsidRPr="00AC6559">
        <w:rPr>
          <w:b/>
          <w:u w:val="single"/>
        </w:rPr>
        <w:t>Desired outcome</w:t>
      </w:r>
      <w:r>
        <w:t xml:space="preserve">:  </w:t>
      </w:r>
      <w:r w:rsidR="00CA70B6">
        <w:t>Promote</w:t>
      </w:r>
      <w:r>
        <w:t xml:space="preserve"> further the discussion on the satellite component of the VDES</w:t>
      </w:r>
      <w:r w:rsidR="00CA70B6">
        <w:t xml:space="preserve">, noting that, </w:t>
      </w:r>
      <w:r>
        <w:t>for VDES to be truly global</w:t>
      </w:r>
      <w:r w:rsidR="00CA70B6">
        <w:t>,</w:t>
      </w:r>
      <w:r>
        <w:t xml:space="preserve"> the satellite link is required.  </w:t>
      </w:r>
      <w:r w:rsidR="00DC4C65">
        <w:t>Review and agree the modifications identified in the revised PDNR ITU-R M.[VDE-SAT].</w:t>
      </w:r>
    </w:p>
    <w:p w14:paraId="59DF7784" w14:textId="45E19693" w:rsidR="00AC6559" w:rsidRPr="00AB02FB" w:rsidRDefault="00AC6559" w:rsidP="00AB02FB">
      <w:pPr>
        <w:pStyle w:val="Heading4"/>
        <w:spacing w:beforeLines="0" w:before="120"/>
        <w:ind w:left="283" w:hanging="357"/>
        <w:contextualSpacing w:val="0"/>
      </w:pPr>
      <w:r w:rsidRPr="00AB02FB">
        <w:t>Action Requested</w:t>
      </w:r>
    </w:p>
    <w:p w14:paraId="71BA739C" w14:textId="61F04BA7" w:rsidR="00AC6559" w:rsidRDefault="00AC6559" w:rsidP="00BE5D4F">
      <w:pPr>
        <w:spacing w:beforeLines="0" w:before="60"/>
        <w:ind w:left="284"/>
      </w:pPr>
      <w:r>
        <w:t>Delegates to ITU-R WP 5B are requested to take note of the work of IALA on digital maritime radio communications and, where possible, support the papers through interventions</w:t>
      </w:r>
      <w:r w:rsidR="00103D01">
        <w:t xml:space="preserve">. </w:t>
      </w:r>
      <w:r>
        <w:t xml:space="preserve">In addition, experts in digital radio communications are invited to participate in the work of IALA on VDES. </w:t>
      </w:r>
    </w:p>
    <w:sectPr w:rsidR="00AC6559" w:rsidSect="00103D01">
      <w:headerReference w:type="even" r:id="rId10"/>
      <w:headerReference w:type="default" r:id="rId11"/>
      <w:pgSz w:w="11906" w:h="16838"/>
      <w:pgMar w:top="1134" w:right="1418" w:bottom="1135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DD960" w14:textId="77777777" w:rsidR="003F2F97" w:rsidRDefault="003F2F97" w:rsidP="00F25E93">
      <w:r>
        <w:separator/>
      </w:r>
    </w:p>
  </w:endnote>
  <w:endnote w:type="continuationSeparator" w:id="0">
    <w:p w14:paraId="6D0A5FA8" w14:textId="77777777" w:rsidR="003F2F97" w:rsidRDefault="003F2F97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2F6BC" w14:textId="77777777" w:rsidR="003F2F97" w:rsidRDefault="003F2F97" w:rsidP="00F25E93">
      <w:r>
        <w:separator/>
      </w:r>
    </w:p>
  </w:footnote>
  <w:footnote w:type="continuationSeparator" w:id="0">
    <w:p w14:paraId="53FA7D1B" w14:textId="77777777" w:rsidR="003F2F97" w:rsidRDefault="003F2F97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720C0" w14:textId="39A456F5" w:rsidR="005E0D3E" w:rsidRDefault="005E0D3E" w:rsidP="006C1864">
    <w:pPr>
      <w:pStyle w:val="Header"/>
      <w:spacing w:beforeLines="0" w:before="0"/>
    </w:pPr>
    <w:r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C62-x.x.x</w:t>
    </w:r>
  </w:p>
  <w:p w14:paraId="0E33D111" w14:textId="77777777" w:rsidR="005E0D3E" w:rsidRDefault="005E0D3E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73AAA" w14:textId="2F3EBE5D" w:rsidR="005E0D3E" w:rsidRDefault="0039082C" w:rsidP="006C1864">
    <w:pPr>
      <w:pStyle w:val="Header"/>
      <w:spacing w:beforeLines="0" w:before="0"/>
      <w:jc w:val="right"/>
    </w:pPr>
    <w:r>
      <w:t>ARM7-12.1.3</w:t>
    </w:r>
    <w:r w:rsidR="00151415">
      <w:t xml:space="preserve"> Briefing note – ITU-R WP5B</w:t>
    </w:r>
    <w:r w:rsidR="00103D01">
      <w:t xml:space="preserve"> – November 2017</w:t>
    </w:r>
  </w:p>
  <w:p w14:paraId="07A278BD" w14:textId="77777777" w:rsidR="005E0D3E" w:rsidRDefault="005E0D3E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E7C40"/>
    <w:multiLevelType w:val="hybridMultilevel"/>
    <w:tmpl w:val="EDDA67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1FB7307"/>
    <w:multiLevelType w:val="hybridMultilevel"/>
    <w:tmpl w:val="68723F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8"/>
  </w:num>
  <w:num w:numId="8">
    <w:abstractNumId w:val="8"/>
  </w:num>
  <w:num w:numId="9">
    <w:abstractNumId w:val="8"/>
  </w:num>
  <w:num w:numId="10">
    <w:abstractNumId w:val="0"/>
  </w:num>
  <w:num w:numId="11">
    <w:abstractNumId w:val="6"/>
  </w:num>
  <w:num w:numId="12">
    <w:abstractNumId w:val="4"/>
  </w:num>
  <w:num w:numId="13">
    <w:abstractNumId w:val="8"/>
  </w:num>
  <w:num w:numId="14">
    <w:abstractNumId w:val="3"/>
  </w:num>
  <w:num w:numId="15">
    <w:abstractNumId w:val="9"/>
  </w:num>
  <w:num w:numId="16">
    <w:abstractNumId w:val="8"/>
  </w:num>
  <w:num w:numId="17">
    <w:abstractNumId w:val="8"/>
  </w:num>
  <w:num w:numId="1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3420"/>
    <w:rsid w:val="00064688"/>
    <w:rsid w:val="000646B5"/>
    <w:rsid w:val="00065A66"/>
    <w:rsid w:val="00067791"/>
    <w:rsid w:val="00067965"/>
    <w:rsid w:val="00070BF3"/>
    <w:rsid w:val="00070EDF"/>
    <w:rsid w:val="00075686"/>
    <w:rsid w:val="0008242F"/>
    <w:rsid w:val="0008322B"/>
    <w:rsid w:val="00083DF0"/>
    <w:rsid w:val="000873ED"/>
    <w:rsid w:val="00090B83"/>
    <w:rsid w:val="0009285B"/>
    <w:rsid w:val="000940FE"/>
    <w:rsid w:val="0009431B"/>
    <w:rsid w:val="000A3DB4"/>
    <w:rsid w:val="000A3F32"/>
    <w:rsid w:val="000A53F2"/>
    <w:rsid w:val="000A58CC"/>
    <w:rsid w:val="000B1E38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3D01"/>
    <w:rsid w:val="0010728A"/>
    <w:rsid w:val="0010752F"/>
    <w:rsid w:val="00116DAE"/>
    <w:rsid w:val="00132372"/>
    <w:rsid w:val="0013279C"/>
    <w:rsid w:val="001352E6"/>
    <w:rsid w:val="00140CD3"/>
    <w:rsid w:val="00141DD9"/>
    <w:rsid w:val="00142D16"/>
    <w:rsid w:val="00146D14"/>
    <w:rsid w:val="00151415"/>
    <w:rsid w:val="00155B89"/>
    <w:rsid w:val="0016430C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6B71"/>
    <w:rsid w:val="00296DD5"/>
    <w:rsid w:val="00296F45"/>
    <w:rsid w:val="002A0CC3"/>
    <w:rsid w:val="002A19A3"/>
    <w:rsid w:val="002A5C0B"/>
    <w:rsid w:val="002A6A38"/>
    <w:rsid w:val="002A6C14"/>
    <w:rsid w:val="002A751F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257D"/>
    <w:rsid w:val="002D3C42"/>
    <w:rsid w:val="002D4DBB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57D49"/>
    <w:rsid w:val="00360462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082C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F97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7BE7"/>
    <w:rsid w:val="00490A16"/>
    <w:rsid w:val="00490CBB"/>
    <w:rsid w:val="00493145"/>
    <w:rsid w:val="004949B7"/>
    <w:rsid w:val="00494DE5"/>
    <w:rsid w:val="004A2B16"/>
    <w:rsid w:val="004A40B7"/>
    <w:rsid w:val="004A64EF"/>
    <w:rsid w:val="004A6F8E"/>
    <w:rsid w:val="004B09D6"/>
    <w:rsid w:val="004B2370"/>
    <w:rsid w:val="004B6F0D"/>
    <w:rsid w:val="004C0749"/>
    <w:rsid w:val="004C27E6"/>
    <w:rsid w:val="004C28BA"/>
    <w:rsid w:val="004C48B8"/>
    <w:rsid w:val="004C5D9F"/>
    <w:rsid w:val="004C7606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4FE"/>
    <w:rsid w:val="00505D15"/>
    <w:rsid w:val="005128B0"/>
    <w:rsid w:val="00513056"/>
    <w:rsid w:val="00515B2C"/>
    <w:rsid w:val="00515FA1"/>
    <w:rsid w:val="00523D32"/>
    <w:rsid w:val="00523F21"/>
    <w:rsid w:val="005309BA"/>
    <w:rsid w:val="00540167"/>
    <w:rsid w:val="00542735"/>
    <w:rsid w:val="00542D53"/>
    <w:rsid w:val="00544459"/>
    <w:rsid w:val="005449C0"/>
    <w:rsid w:val="005462FA"/>
    <w:rsid w:val="005524DF"/>
    <w:rsid w:val="005716F1"/>
    <w:rsid w:val="005728D8"/>
    <w:rsid w:val="0057461F"/>
    <w:rsid w:val="00574F6B"/>
    <w:rsid w:val="00580C25"/>
    <w:rsid w:val="005862D7"/>
    <w:rsid w:val="00586DF4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45D8"/>
    <w:rsid w:val="005B6DA1"/>
    <w:rsid w:val="005C3F1E"/>
    <w:rsid w:val="005C4913"/>
    <w:rsid w:val="005C630A"/>
    <w:rsid w:val="005D0A14"/>
    <w:rsid w:val="005D10A5"/>
    <w:rsid w:val="005D4195"/>
    <w:rsid w:val="005D48DA"/>
    <w:rsid w:val="005D51FC"/>
    <w:rsid w:val="005D7581"/>
    <w:rsid w:val="005E0D3E"/>
    <w:rsid w:val="005E1838"/>
    <w:rsid w:val="005E2137"/>
    <w:rsid w:val="005E29F9"/>
    <w:rsid w:val="005E3FC5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8A2"/>
    <w:rsid w:val="00643ED8"/>
    <w:rsid w:val="0064598A"/>
    <w:rsid w:val="00646288"/>
    <w:rsid w:val="00646EC8"/>
    <w:rsid w:val="0065090B"/>
    <w:rsid w:val="0065090D"/>
    <w:rsid w:val="00653C7F"/>
    <w:rsid w:val="00654CBD"/>
    <w:rsid w:val="00660E83"/>
    <w:rsid w:val="006636B8"/>
    <w:rsid w:val="00665082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B04DD"/>
    <w:rsid w:val="006B0887"/>
    <w:rsid w:val="006B7A27"/>
    <w:rsid w:val="006B7B07"/>
    <w:rsid w:val="006C05E6"/>
    <w:rsid w:val="006C1864"/>
    <w:rsid w:val="006C2A35"/>
    <w:rsid w:val="006C36C0"/>
    <w:rsid w:val="006C3893"/>
    <w:rsid w:val="006C5BD1"/>
    <w:rsid w:val="006C75A0"/>
    <w:rsid w:val="006D0707"/>
    <w:rsid w:val="006D2275"/>
    <w:rsid w:val="006D64BB"/>
    <w:rsid w:val="006D7BF5"/>
    <w:rsid w:val="006E240B"/>
    <w:rsid w:val="006E69F0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3905"/>
    <w:rsid w:val="00723FEB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596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3203A"/>
    <w:rsid w:val="008326D4"/>
    <w:rsid w:val="0083323F"/>
    <w:rsid w:val="00833BBD"/>
    <w:rsid w:val="00834984"/>
    <w:rsid w:val="008360E8"/>
    <w:rsid w:val="00836DF7"/>
    <w:rsid w:val="00837030"/>
    <w:rsid w:val="008370EE"/>
    <w:rsid w:val="0084039C"/>
    <w:rsid w:val="00841E5A"/>
    <w:rsid w:val="008432CC"/>
    <w:rsid w:val="00843AF3"/>
    <w:rsid w:val="008461E5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B8D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C10A9"/>
    <w:rsid w:val="008C2580"/>
    <w:rsid w:val="008C34D6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2116"/>
    <w:rsid w:val="00912D67"/>
    <w:rsid w:val="009135D4"/>
    <w:rsid w:val="00916081"/>
    <w:rsid w:val="00916333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774F"/>
    <w:rsid w:val="00A07E48"/>
    <w:rsid w:val="00A07EC6"/>
    <w:rsid w:val="00A103B5"/>
    <w:rsid w:val="00A12960"/>
    <w:rsid w:val="00A12AB3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6038"/>
    <w:rsid w:val="00A47757"/>
    <w:rsid w:val="00A5584F"/>
    <w:rsid w:val="00A57D45"/>
    <w:rsid w:val="00A57E85"/>
    <w:rsid w:val="00A63C3B"/>
    <w:rsid w:val="00A66893"/>
    <w:rsid w:val="00A71065"/>
    <w:rsid w:val="00A72713"/>
    <w:rsid w:val="00A76F45"/>
    <w:rsid w:val="00A80C9B"/>
    <w:rsid w:val="00A833D0"/>
    <w:rsid w:val="00A83E3F"/>
    <w:rsid w:val="00A9085C"/>
    <w:rsid w:val="00A91FC1"/>
    <w:rsid w:val="00A92EBA"/>
    <w:rsid w:val="00A94F8B"/>
    <w:rsid w:val="00A9779C"/>
    <w:rsid w:val="00AA1F68"/>
    <w:rsid w:val="00AA5B2E"/>
    <w:rsid w:val="00AA7B59"/>
    <w:rsid w:val="00AB02FB"/>
    <w:rsid w:val="00AB6175"/>
    <w:rsid w:val="00AB6964"/>
    <w:rsid w:val="00AC01DD"/>
    <w:rsid w:val="00AC1410"/>
    <w:rsid w:val="00AC144D"/>
    <w:rsid w:val="00AC387C"/>
    <w:rsid w:val="00AC4879"/>
    <w:rsid w:val="00AC6559"/>
    <w:rsid w:val="00AD0070"/>
    <w:rsid w:val="00AD1FA6"/>
    <w:rsid w:val="00AD3ACD"/>
    <w:rsid w:val="00AD3C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6C75"/>
    <w:rsid w:val="00B26F5A"/>
    <w:rsid w:val="00B27D30"/>
    <w:rsid w:val="00B320B4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5DE9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4190"/>
    <w:rsid w:val="00BE5D4F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1E05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A70B6"/>
    <w:rsid w:val="00CB34BA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2D83"/>
    <w:rsid w:val="00D14ACA"/>
    <w:rsid w:val="00D1557C"/>
    <w:rsid w:val="00D16692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4C65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40B3"/>
    <w:rsid w:val="00DF419D"/>
    <w:rsid w:val="00DF43F2"/>
    <w:rsid w:val="00E00C51"/>
    <w:rsid w:val="00E07D19"/>
    <w:rsid w:val="00E10A55"/>
    <w:rsid w:val="00E138C1"/>
    <w:rsid w:val="00E1523E"/>
    <w:rsid w:val="00E20D8B"/>
    <w:rsid w:val="00E22652"/>
    <w:rsid w:val="00E25BBE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0AB7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00E"/>
    <w:rsid w:val="00ED195F"/>
    <w:rsid w:val="00ED3859"/>
    <w:rsid w:val="00ED4AF6"/>
    <w:rsid w:val="00EE0659"/>
    <w:rsid w:val="00EE1F85"/>
    <w:rsid w:val="00EE2EC9"/>
    <w:rsid w:val="00EE721F"/>
    <w:rsid w:val="00EE7AA0"/>
    <w:rsid w:val="00EF2A4B"/>
    <w:rsid w:val="00EF2B72"/>
    <w:rsid w:val="00EF39B5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7C8"/>
    <w:rsid w:val="00F50C44"/>
    <w:rsid w:val="00F531E3"/>
    <w:rsid w:val="00F552EA"/>
    <w:rsid w:val="00F5650F"/>
    <w:rsid w:val="00F5681C"/>
    <w:rsid w:val="00F62917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C75C1"/>
    <w:rsid w:val="00FD1EF0"/>
    <w:rsid w:val="00FD2C3C"/>
    <w:rsid w:val="00FD3135"/>
    <w:rsid w:val="00FD4BDD"/>
    <w:rsid w:val="00FD57C2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151415"/>
    <w:rPr>
      <w:rFonts w:ascii="Verdana" w:hAnsi="Verdana" w:hint="default"/>
      <w:color w:val="02274B"/>
      <w:u w:val="single"/>
    </w:rPr>
  </w:style>
  <w:style w:type="character" w:customStyle="1" w:styleId="TitleChar">
    <w:name w:val="Title Char"/>
    <w:basedOn w:val="DefaultParagraphFont"/>
    <w:link w:val="Title"/>
    <w:rsid w:val="00ED100E"/>
    <w:rPr>
      <w:rFonts w:ascii="Arial" w:hAnsi="Arial" w:cs="Arial"/>
      <w:b/>
      <w:bCs/>
      <w:kern w:val="28"/>
      <w:sz w:val="32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151415"/>
    <w:rPr>
      <w:rFonts w:ascii="Verdana" w:hAnsi="Verdana" w:hint="default"/>
      <w:color w:val="02274B"/>
      <w:u w:val="single"/>
    </w:rPr>
  </w:style>
  <w:style w:type="character" w:customStyle="1" w:styleId="TitleChar">
    <w:name w:val="Title Char"/>
    <w:basedOn w:val="DefaultParagraphFont"/>
    <w:link w:val="Title"/>
    <w:rsid w:val="00ED100E"/>
    <w:rPr>
      <w:rFonts w:ascii="Arial" w:hAnsi="Arial" w:cs="Arial"/>
      <w:b/>
      <w:bCs/>
      <w:kern w:val="28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65D68-5D87-4F76-8058-D0710BAE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ITU Delegate Briefing Note</vt:lpstr>
      <vt:lpstr>IALA COUNCIL</vt:lpstr>
    </vt:vector>
  </TitlesOfParts>
  <Company>IALA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ITU Delegate Briefing Note</dc:title>
  <dc:creator>Jillian Carson-Jackson</dc:creator>
  <cp:lastModifiedBy>Wim</cp:lastModifiedBy>
  <cp:revision>4</cp:revision>
  <cp:lastPrinted>2016-05-11T11:04:00Z</cp:lastPrinted>
  <dcterms:created xsi:type="dcterms:W3CDTF">2017-10-24T21:44:00Z</dcterms:created>
  <dcterms:modified xsi:type="dcterms:W3CDTF">2017-10-25T07:52:00Z</dcterms:modified>
</cp:coreProperties>
</file>