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F3A31" w14:textId="2F6ECD44" w:rsidR="002F4133" w:rsidRDefault="00A52386" w:rsidP="002F4133">
      <w:pPr>
        <w:pStyle w:val="Title"/>
      </w:pPr>
      <w:r>
        <w:t xml:space="preserve">Proposal for the </w:t>
      </w:r>
      <w:r w:rsidR="002F4133">
        <w:t xml:space="preserve">Work Programme 2022-2026 </w:t>
      </w:r>
    </w:p>
    <w:p w14:paraId="58520B56" w14:textId="1420800A" w:rsidR="00856F9B" w:rsidRDefault="00E638AB" w:rsidP="002F4133">
      <w:pPr>
        <w:pStyle w:val="Heading1"/>
      </w:pPr>
      <w:r>
        <w:t>Overview</w:t>
      </w:r>
    </w:p>
    <w:p w14:paraId="3DDCAB17" w14:textId="3515A514" w:rsidR="00856F9B" w:rsidRDefault="00856F9B" w:rsidP="00856F9B">
      <w:pPr>
        <w:pStyle w:val="BodyText"/>
        <w:rPr>
          <w:lang w:eastAsia="de-DE"/>
        </w:rPr>
      </w:pPr>
      <w:r>
        <w:rPr>
          <w:lang w:eastAsia="de-DE"/>
        </w:rPr>
        <w:t xml:space="preserve">During ENAV27 WG2 – Emerging Digital Technologies – held a brainstorming session to identify future work items that may be considered by IALA for the 2022-2026 work programme.  </w:t>
      </w:r>
      <w:r w:rsidR="002804D3">
        <w:rPr>
          <w:lang w:eastAsia="de-DE"/>
        </w:rPr>
        <w:t xml:space="preserve">The session took into account </w:t>
      </w:r>
      <w:r w:rsidR="005E4FA7">
        <w:rPr>
          <w:lang w:eastAsia="de-DE"/>
        </w:rPr>
        <w:t xml:space="preserve">ENAV27-3.1.0.1 – IALA Current Drivers and Trends and </w:t>
      </w:r>
      <w:r w:rsidR="008D4FAD">
        <w:rPr>
          <w:lang w:eastAsia="de-DE"/>
        </w:rPr>
        <w:t xml:space="preserve">ENAV27-3.1.0.3 – IALA Strategic Vision.  </w:t>
      </w:r>
      <w:r w:rsidR="00230638">
        <w:rPr>
          <w:lang w:eastAsia="de-DE"/>
        </w:rPr>
        <w:t>In addition, reference was made to ENAV27-3.1.0.2</w:t>
      </w:r>
      <w:r w:rsidR="003F7A2F">
        <w:rPr>
          <w:lang w:eastAsia="de-DE"/>
        </w:rPr>
        <w:t xml:space="preserve"> – IALA Position Document on the Development of Marine Aids to Navigation. </w:t>
      </w:r>
      <w:r w:rsidR="008D4FAD">
        <w:rPr>
          <w:lang w:eastAsia="de-DE"/>
        </w:rPr>
        <w:t>The discussion opened up for input o</w:t>
      </w:r>
      <w:r w:rsidR="00243CA6">
        <w:rPr>
          <w:lang w:eastAsia="de-DE"/>
        </w:rPr>
        <w:t xml:space="preserve">n aspects for future work, including areas that may be beyond the current working group terms of reference.  </w:t>
      </w:r>
    </w:p>
    <w:p w14:paraId="00C96F8D" w14:textId="1B4E22BB" w:rsidR="007D5349" w:rsidRDefault="006151A9" w:rsidP="00856F9B">
      <w:pPr>
        <w:pStyle w:val="BodyText"/>
        <w:rPr>
          <w:lang w:eastAsia="de-DE"/>
        </w:rPr>
      </w:pPr>
      <w:r>
        <w:rPr>
          <w:lang w:eastAsia="de-DE"/>
        </w:rPr>
        <w:t>Following the brainstorming session, input was collated into a table which was then forwarded to members for input to identify priorities and also opportunities to group some of the concepts together.  Table X represents the summarized outcomes of the review, in grouped priority</w:t>
      </w:r>
      <w:r w:rsidR="00F20A13">
        <w:rPr>
          <w:lang w:eastAsia="de-DE"/>
        </w:rPr>
        <w:t xml:space="preserve">.  </w:t>
      </w:r>
    </w:p>
    <w:p w14:paraId="1F970E2B" w14:textId="0AD06BEF" w:rsidR="009E54B0" w:rsidRDefault="009E54B0" w:rsidP="00856F9B">
      <w:pPr>
        <w:pStyle w:val="BodyText"/>
        <w:rPr>
          <w:lang w:eastAsia="de-DE"/>
        </w:rPr>
      </w:pPr>
      <w:r>
        <w:rPr>
          <w:lang w:eastAsia="de-DE"/>
        </w:rPr>
        <w:t>These items are provided</w:t>
      </w:r>
      <w:r w:rsidR="00982324">
        <w:rPr>
          <w:lang w:eastAsia="de-DE"/>
        </w:rPr>
        <w:t xml:space="preserve"> for consideration</w:t>
      </w:r>
      <w:r>
        <w:rPr>
          <w:lang w:eastAsia="de-DE"/>
        </w:rPr>
        <w:t xml:space="preserve"> in addition to the ongoing work of WG2: monitoring and reviewing digital technologies (existing, emerging); revision of MRCP (</w:t>
      </w:r>
      <w:r w:rsidR="00982324">
        <w:rPr>
          <w:lang w:eastAsia="de-DE"/>
        </w:rPr>
        <w:t xml:space="preserve">communications manual – working title MARCOM GUIDE); review an update of relevant IALA documentation.  </w:t>
      </w:r>
    </w:p>
    <w:p w14:paraId="258FC123" w14:textId="768F9E44" w:rsidR="00030D39" w:rsidRDefault="00030D39" w:rsidP="009E54B0">
      <w:pPr>
        <w:pStyle w:val="Heading2"/>
        <w:rPr>
          <w:lang w:eastAsia="de-DE"/>
        </w:rPr>
      </w:pPr>
      <w:r>
        <w:rPr>
          <w:lang w:eastAsia="de-DE"/>
        </w:rPr>
        <w:t xml:space="preserve">Strategy References: </w:t>
      </w:r>
    </w:p>
    <w:p w14:paraId="2200731D" w14:textId="2630858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S1 ‐ Develop standards suitable for direct citation by States, in areas deemed important by the General Assembly,</w:t>
      </w:r>
      <w:r>
        <w:rPr>
          <w:lang w:eastAsia="de-DE"/>
        </w:rPr>
        <w:t xml:space="preserve"> </w:t>
      </w:r>
      <w:r>
        <w:rPr>
          <w:lang w:eastAsia="de-DE"/>
        </w:rPr>
        <w:t>and the related Recommendations and Guidelines.</w:t>
      </w:r>
    </w:p>
    <w:p w14:paraId="4DDA59A8" w14:textId="44F7E54C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S2 ‐ Position IALA as the source of standards, knowledge, and expertise that will enable States to provide Marine</w:t>
      </w:r>
      <w:r>
        <w:rPr>
          <w:lang w:eastAsia="de-DE"/>
        </w:rPr>
        <w:t xml:space="preserve"> </w:t>
      </w:r>
      <w:r>
        <w:rPr>
          <w:lang w:eastAsia="de-DE"/>
        </w:rPr>
        <w:t>Aids to Navigation, in accordance with relevant international obligations and recommendations.</w:t>
      </w:r>
    </w:p>
    <w:p w14:paraId="57BC8F0B" w14:textId="755E053E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S3 ‐ Coordinate the further development of Marine Aids to Navigation, taking into account evolving operational</w:t>
      </w:r>
      <w:r>
        <w:rPr>
          <w:lang w:eastAsia="de-DE"/>
        </w:rPr>
        <w:t xml:space="preserve"> </w:t>
      </w:r>
      <w:r>
        <w:rPr>
          <w:lang w:eastAsia="de-DE"/>
        </w:rPr>
        <w:t>and functional requirements, new techniques, new technologies and sustainability.</w:t>
      </w:r>
    </w:p>
    <w:p w14:paraId="7EB7873E" w14:textId="77C890CE" w:rsidR="00030D3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S4 ‐ Continue to develop capacity building activities to improve the global provision of Marine Aids to Navigation.</w:t>
      </w:r>
    </w:p>
    <w:p w14:paraId="346B2B98" w14:textId="1EC43270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S5 ‐ Harmonise the information structure and communications for future navigation by creating standards, and by</w:t>
      </w:r>
      <w:r>
        <w:rPr>
          <w:lang w:eastAsia="de-DE"/>
        </w:rPr>
        <w:t xml:space="preserve"> </w:t>
      </w:r>
      <w:r>
        <w:rPr>
          <w:lang w:eastAsia="de-DE"/>
        </w:rPr>
        <w:t>cooperation with other international organisations, to achieve worldwide interoperability of shore and ship</w:t>
      </w:r>
      <w:r>
        <w:rPr>
          <w:lang w:eastAsia="de-DE"/>
        </w:rPr>
        <w:t xml:space="preserve"> </w:t>
      </w:r>
      <w:r>
        <w:rPr>
          <w:lang w:eastAsia="de-DE"/>
        </w:rPr>
        <w:t>systems.</w:t>
      </w:r>
    </w:p>
    <w:p w14:paraId="5BFE4879" w14:textId="17307341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S6 ‐ Improve and harmonise the delivery of VTS globally and in a manner consistent with international</w:t>
      </w:r>
      <w:r>
        <w:rPr>
          <w:lang w:eastAsia="de-DE"/>
        </w:rPr>
        <w:t xml:space="preserve"> </w:t>
      </w:r>
      <w:r>
        <w:rPr>
          <w:lang w:eastAsia="de-DE"/>
        </w:rPr>
        <w:t>conventions, national legislation and public expectations, to ensure the safety and efficiency of vessel traffic and</w:t>
      </w:r>
      <w:r>
        <w:rPr>
          <w:lang w:eastAsia="de-DE"/>
        </w:rPr>
        <w:t xml:space="preserve"> </w:t>
      </w:r>
      <w:r>
        <w:rPr>
          <w:lang w:eastAsia="de-DE"/>
        </w:rPr>
        <w:t>to protect the environment.</w:t>
      </w:r>
    </w:p>
    <w:p w14:paraId="3CEBC5C4" w14:textId="619159DB" w:rsidR="009419CE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S7 ‐ Work towards the transformation of IALA into an IGO, to enable the organization to achieve its aim and</w:t>
      </w:r>
      <w:r>
        <w:rPr>
          <w:lang w:eastAsia="de-DE"/>
        </w:rPr>
        <w:t xml:space="preserve"> </w:t>
      </w:r>
      <w:r>
        <w:rPr>
          <w:lang w:eastAsia="de-DE"/>
        </w:rPr>
        <w:t>objectives.</w:t>
      </w:r>
    </w:p>
    <w:p w14:paraId="1EC33535" w14:textId="45AE2BFD" w:rsidR="007D5349" w:rsidRDefault="009419CE" w:rsidP="009419CE">
      <w:pPr>
        <w:pStyle w:val="BodyText"/>
        <w:ind w:left="360" w:hanging="450"/>
        <w:rPr>
          <w:lang w:eastAsia="de-DE"/>
        </w:rPr>
      </w:pPr>
      <w:r>
        <w:rPr>
          <w:lang w:eastAsia="de-DE"/>
        </w:rPr>
        <w:t>S8 ‐ Ensure that the resources and capabilities of the Secretariat are sufficient to enable IALA and its committees</w:t>
      </w:r>
      <w:r>
        <w:rPr>
          <w:lang w:eastAsia="de-DE"/>
        </w:rPr>
        <w:t xml:space="preserve"> </w:t>
      </w:r>
      <w:r>
        <w:rPr>
          <w:lang w:eastAsia="de-DE"/>
        </w:rPr>
        <w:t>and organs to reach its goals.</w:t>
      </w:r>
    </w:p>
    <w:p w14:paraId="63BBFFB2" w14:textId="77777777" w:rsidR="009419CE" w:rsidRDefault="009419CE" w:rsidP="009419CE">
      <w:pPr>
        <w:pStyle w:val="BodyText"/>
        <w:rPr>
          <w:lang w:eastAsia="de-DE"/>
        </w:rPr>
        <w:sectPr w:rsidR="009419CE" w:rsidSect="009419C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246179E1" w14:textId="13F1E9D3" w:rsidR="009419CE" w:rsidRDefault="00E56E90" w:rsidP="00E56E90">
      <w:pPr>
        <w:pStyle w:val="Heading1"/>
      </w:pPr>
      <w:r>
        <w:lastRenderedPageBreak/>
        <w:t>Priority Items</w:t>
      </w:r>
      <w:r w:rsidR="007C21DC">
        <w:t xml:space="preserve"> (as identified by WG2, ENAV27)</w:t>
      </w:r>
    </w:p>
    <w:tbl>
      <w:tblPr>
        <w:tblStyle w:val="TableGrid"/>
        <w:tblW w:w="15025" w:type="dxa"/>
        <w:tblLook w:val="04A0" w:firstRow="1" w:lastRow="0" w:firstColumn="1" w:lastColumn="0" w:noHBand="0" w:noVBand="1"/>
      </w:tblPr>
      <w:tblGrid>
        <w:gridCol w:w="805"/>
        <w:gridCol w:w="1800"/>
        <w:gridCol w:w="5580"/>
        <w:gridCol w:w="2700"/>
        <w:gridCol w:w="1671"/>
        <w:gridCol w:w="2469"/>
      </w:tblGrid>
      <w:tr w:rsidR="002D6DAA" w14:paraId="7F6CE4EC" w14:textId="77777777" w:rsidTr="00EB4D6A">
        <w:trPr>
          <w:tblHeader/>
        </w:trPr>
        <w:tc>
          <w:tcPr>
            <w:tcW w:w="805" w:type="dxa"/>
          </w:tcPr>
          <w:p w14:paraId="49B44C7C" w14:textId="45A4111E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Ref #</w:t>
            </w:r>
          </w:p>
        </w:tc>
        <w:tc>
          <w:tcPr>
            <w:tcW w:w="1800" w:type="dxa"/>
          </w:tcPr>
          <w:p w14:paraId="11A9CF31" w14:textId="6116FB51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Topic</w:t>
            </w:r>
          </w:p>
        </w:tc>
        <w:tc>
          <w:tcPr>
            <w:tcW w:w="5580" w:type="dxa"/>
          </w:tcPr>
          <w:p w14:paraId="3A7E4638" w14:textId="55DB225D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Element</w:t>
            </w:r>
            <w:r w:rsidR="00D04401">
              <w:rPr>
                <w:lang w:eastAsia="de-DE"/>
              </w:rPr>
              <w:t>s</w:t>
            </w:r>
          </w:p>
        </w:tc>
        <w:tc>
          <w:tcPr>
            <w:tcW w:w="2700" w:type="dxa"/>
          </w:tcPr>
          <w:p w14:paraId="1958ADC2" w14:textId="3917DB1A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Standard Ref</w:t>
            </w:r>
          </w:p>
        </w:tc>
        <w:tc>
          <w:tcPr>
            <w:tcW w:w="1671" w:type="dxa"/>
          </w:tcPr>
          <w:p w14:paraId="7A0EB607" w14:textId="6356C7E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Strategy Ref</w:t>
            </w:r>
          </w:p>
        </w:tc>
        <w:tc>
          <w:tcPr>
            <w:tcW w:w="2469" w:type="dxa"/>
          </w:tcPr>
          <w:p w14:paraId="216A207B" w14:textId="263A5699" w:rsidR="002D6DAA" w:rsidRDefault="002D6DAA" w:rsidP="00856F9B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Related activities</w:t>
            </w:r>
          </w:p>
        </w:tc>
      </w:tr>
      <w:tr w:rsidR="002D6DAA" w14:paraId="295E44A8" w14:textId="77777777" w:rsidTr="00101061">
        <w:trPr>
          <w:trHeight w:val="4750"/>
        </w:trPr>
        <w:tc>
          <w:tcPr>
            <w:tcW w:w="805" w:type="dxa"/>
          </w:tcPr>
          <w:p w14:paraId="76E58EE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0F973490" w14:textId="2B5159E7" w:rsidR="002D6DAA" w:rsidRDefault="00D66D7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Digital Communications</w:t>
            </w:r>
          </w:p>
        </w:tc>
        <w:tc>
          <w:tcPr>
            <w:tcW w:w="5580" w:type="dxa"/>
          </w:tcPr>
          <w:p w14:paraId="1512E44C" w14:textId="2111D36E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Use case for digital comms</w:t>
            </w:r>
          </w:p>
          <w:p w14:paraId="43E8EAE4" w14:textId="7D97B4C1" w:rsidR="00DC1C32" w:rsidRDefault="00DC1C32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Future need for IALA </w:t>
            </w:r>
            <w:r w:rsidR="0029483E">
              <w:rPr>
                <w:rFonts w:asciiTheme="minorHAnsi" w:hAnsiTheme="minorHAnsi"/>
                <w:lang w:eastAsia="de-DE"/>
              </w:rPr>
              <w:t>Community</w:t>
            </w:r>
          </w:p>
          <w:p w14:paraId="45BFAD26" w14:textId="19D9AAC1" w:rsidR="00DC1C32" w:rsidRDefault="0029483E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Use case roadmap against existing and emerging technologies</w:t>
            </w:r>
          </w:p>
          <w:p w14:paraId="5C3E03F1" w14:textId="66DF06C0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Communication as a service  </w:t>
            </w:r>
          </w:p>
          <w:p w14:paraId="522A2697" w14:textId="77777777" w:rsidR="00D04401" w:rsidRPr="00B96025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Opportunity for use of proprietary comms </w:t>
            </w:r>
          </w:p>
          <w:p w14:paraId="36175A3B" w14:textId="46EA3A91" w:rsidR="00D04401" w:rsidRDefault="00D04401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B96025">
              <w:rPr>
                <w:rFonts w:asciiTheme="minorHAnsi" w:hAnsiTheme="minorHAnsi"/>
                <w:lang w:eastAsia="de-DE"/>
              </w:rPr>
              <w:t xml:space="preserve">Using an open / consistent / harmonised interface </w:t>
            </w:r>
          </w:p>
          <w:p w14:paraId="22D5A505" w14:textId="0D6C284F" w:rsidR="00B96025" w:rsidRDefault="00B9602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29483E">
              <w:rPr>
                <w:rFonts w:asciiTheme="minorHAnsi" w:hAnsiTheme="minorHAnsi"/>
                <w:lang w:eastAsia="de-DE"/>
              </w:rPr>
              <w:t>Connecting to the physical radio link.</w:t>
            </w:r>
          </w:p>
          <w:p w14:paraId="09532476" w14:textId="19261334" w:rsidR="007F7E0A" w:rsidRDefault="007F7E0A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Internet of Things</w:t>
            </w:r>
          </w:p>
          <w:p w14:paraId="475EDB29" w14:textId="408729F2" w:rsidR="007F7E0A" w:rsidRDefault="007F7E0A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Protocol and system considerations/recommendations</w:t>
            </w:r>
          </w:p>
          <w:p w14:paraId="3E7D93D4" w14:textId="0EE4DDFD" w:rsidR="00F51D0A" w:rsidRDefault="005F08D5" w:rsidP="007C21DC">
            <w:pPr>
              <w:pStyle w:val="ListParagraph"/>
              <w:numPr>
                <w:ilvl w:val="0"/>
                <w:numId w:val="18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Cyber security </w:t>
            </w:r>
          </w:p>
          <w:p w14:paraId="7D24FA2A" w14:textId="01DB4BBD" w:rsidR="00F51D0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Communications / application security</w:t>
            </w:r>
          </w:p>
          <w:p w14:paraId="54F539BF" w14:textId="0792E05B" w:rsidR="00575C6A" w:rsidRDefault="00575C6A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Cyber ‘hygiene’ </w:t>
            </w:r>
            <w:r w:rsidR="00EB4D6A">
              <w:rPr>
                <w:rFonts w:asciiTheme="minorHAnsi" w:hAnsiTheme="minorHAnsi"/>
                <w:lang w:eastAsia="de-DE"/>
              </w:rPr>
              <w:t>– guidance to AtoN authorities</w:t>
            </w:r>
          </w:p>
          <w:p w14:paraId="36C8317C" w14:textId="6FADCDB5" w:rsidR="002D6DAA" w:rsidRPr="005F08D5" w:rsidRDefault="00E40220" w:rsidP="007C21DC">
            <w:pPr>
              <w:pStyle w:val="ListParagraph"/>
              <w:numPr>
                <w:ilvl w:val="0"/>
                <w:numId w:val="24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possible applications for block chain</w:t>
            </w:r>
          </w:p>
        </w:tc>
        <w:tc>
          <w:tcPr>
            <w:tcW w:w="2700" w:type="dxa"/>
          </w:tcPr>
          <w:p w14:paraId="391F2C3A" w14:textId="2EA34D75" w:rsidR="002D6DAA" w:rsidRDefault="00380A12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harmonised maritime connectivity)</w:t>
            </w:r>
          </w:p>
        </w:tc>
        <w:tc>
          <w:tcPr>
            <w:tcW w:w="1671" w:type="dxa"/>
          </w:tcPr>
          <w:p w14:paraId="2E8A4D32" w14:textId="77777777" w:rsidR="002D6DAA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7BF0802A" w14:textId="0F691F9B" w:rsidR="00030D39" w:rsidRDefault="00030D39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</w:tc>
        <w:tc>
          <w:tcPr>
            <w:tcW w:w="2469" w:type="dxa"/>
          </w:tcPr>
          <w:p w14:paraId="66CD8B48" w14:textId="77777777" w:rsidR="002D6DAA" w:rsidRDefault="0029483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IMT (IMT-2020; IMT-2030)</w:t>
            </w:r>
          </w:p>
          <w:p w14:paraId="5471B5F4" w14:textId="3E120CF1" w:rsidR="00171763" w:rsidRDefault="00171763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  <w:tr w:rsidR="002D6DAA" w14:paraId="5F7C6B27" w14:textId="77777777" w:rsidTr="00EB4D6A">
        <w:tc>
          <w:tcPr>
            <w:tcW w:w="805" w:type="dxa"/>
          </w:tcPr>
          <w:p w14:paraId="5961F841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207CB3E7" w14:textId="08A663CD" w:rsidR="002D6DAA" w:rsidRDefault="00F8245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Intelligent Fairway</w:t>
            </w:r>
          </w:p>
        </w:tc>
        <w:tc>
          <w:tcPr>
            <w:tcW w:w="5580" w:type="dxa"/>
          </w:tcPr>
          <w:p w14:paraId="4BB9A6A5" w14:textId="438BEAE6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Integrating sensors</w:t>
            </w:r>
          </w:p>
          <w:p w14:paraId="2C3AEFB8" w14:textId="723D5821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Providing a 'smart' approach to AtoN</w:t>
            </w:r>
          </w:p>
          <w:p w14:paraId="6C0B2F45" w14:textId="366AED57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 xml:space="preserve">Reference to project in Finland / US projects (precision navigation in a fairway) </w:t>
            </w:r>
          </w:p>
          <w:p w14:paraId="04216A93" w14:textId="3F1FE61E" w:rsidR="0015044A" w:rsidRPr="0015044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 xml:space="preserve">Precise information systems </w:t>
            </w:r>
          </w:p>
          <w:p w14:paraId="72B05486" w14:textId="77777777" w:rsidR="002D6DAA" w:rsidRDefault="0015044A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 w:rsidRPr="0015044A">
              <w:rPr>
                <w:rFonts w:asciiTheme="minorHAnsi" w:hAnsiTheme="minorHAnsi"/>
                <w:lang w:eastAsia="de-DE"/>
              </w:rPr>
              <w:t>Supporting maritime data formats - link to S-100</w:t>
            </w:r>
          </w:p>
          <w:p w14:paraId="29644E2F" w14:textId="77777777" w:rsidR="003F502C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Transitioning technologies: </w:t>
            </w:r>
          </w:p>
          <w:p w14:paraId="6CC7A0F2" w14:textId="05A4AEC2" w:rsidR="003F502C" w:rsidRDefault="003F502C" w:rsidP="007C21DC">
            <w:pPr>
              <w:pStyle w:val="ListParagraph"/>
              <w:numPr>
                <w:ilvl w:val="1"/>
                <w:numId w:val="19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How to / migration path</w:t>
            </w:r>
            <w:r w:rsidR="006F6FAB">
              <w:rPr>
                <w:rFonts w:asciiTheme="minorHAnsi" w:hAnsiTheme="minorHAnsi"/>
                <w:lang w:eastAsia="de-DE"/>
              </w:rPr>
              <w:t xml:space="preserve"> (road map for migration) </w:t>
            </w:r>
          </w:p>
          <w:p w14:paraId="6B0E7AB5" w14:textId="1080588B" w:rsidR="00101061" w:rsidRPr="00101061" w:rsidRDefault="003F502C" w:rsidP="007C21DC">
            <w:pPr>
              <w:pStyle w:val="ListParagraph"/>
              <w:numPr>
                <w:ilvl w:val="0"/>
                <w:numId w:val="19"/>
              </w:numPr>
              <w:spacing w:before="40" w:after="40"/>
              <w:ind w:left="343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Link to other international organisation</w:t>
            </w:r>
          </w:p>
        </w:tc>
        <w:tc>
          <w:tcPr>
            <w:tcW w:w="2700" w:type="dxa"/>
          </w:tcPr>
          <w:p w14:paraId="1F0A990B" w14:textId="49DF59D8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</w:t>
            </w:r>
            <w:r w:rsidR="00FD331E">
              <w:rPr>
                <w:lang w:eastAsia="de-DE"/>
              </w:rPr>
              <w:t>:</w:t>
            </w:r>
            <w:r w:rsidR="009A64DA">
              <w:rPr>
                <w:lang w:eastAsia="de-DE"/>
              </w:rPr>
              <w:t xml:space="preserve"> harmonised maritime connectivity)</w:t>
            </w:r>
          </w:p>
          <w:p w14:paraId="25867122" w14:textId="1BD9474D" w:rsidR="00960C7C" w:rsidRDefault="00960C7C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1070 (focus </w:t>
            </w:r>
            <w:r w:rsidR="004227E6">
              <w:rPr>
                <w:lang w:eastAsia="de-DE"/>
              </w:rPr>
              <w:t>–</w:t>
            </w:r>
            <w:r>
              <w:rPr>
                <w:lang w:eastAsia="de-DE"/>
              </w:rPr>
              <w:t xml:space="preserve"> </w:t>
            </w:r>
            <w:r w:rsidR="004227E6">
              <w:rPr>
                <w:lang w:eastAsia="de-DE"/>
              </w:rPr>
              <w:t>exchange systems; terminology, symbology and portrayal)</w:t>
            </w:r>
          </w:p>
        </w:tc>
        <w:tc>
          <w:tcPr>
            <w:tcW w:w="1671" w:type="dxa"/>
          </w:tcPr>
          <w:p w14:paraId="205EFC6F" w14:textId="77777777" w:rsidR="002D6DAA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255FDE72" w14:textId="195C4A46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049A31DB" w14:textId="3D7381E0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31AEF719" w14:textId="2448D691" w:rsidR="00A85594" w:rsidRDefault="00A8559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237A113E" w14:textId="77777777" w:rsidR="002D6DAA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Smart navigation / Smart Ships / Smart Ports</w:t>
            </w:r>
          </w:p>
          <w:p w14:paraId="204A5A71" w14:textId="0C8AD163" w:rsidR="007E3C4D" w:rsidRDefault="007E3C4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Developments in Maritime Informatics</w:t>
            </w:r>
          </w:p>
        </w:tc>
      </w:tr>
      <w:tr w:rsidR="002D6DAA" w14:paraId="3442A814" w14:textId="77777777" w:rsidTr="00101061">
        <w:trPr>
          <w:trHeight w:val="2005"/>
        </w:trPr>
        <w:tc>
          <w:tcPr>
            <w:tcW w:w="805" w:type="dxa"/>
          </w:tcPr>
          <w:p w14:paraId="1A3BD6B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4327A9A9" w14:textId="6E67D0B2" w:rsidR="002D6DAA" w:rsidRDefault="0003444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Technologies to support VTS / ship reporting and monitoring</w:t>
            </w:r>
          </w:p>
        </w:tc>
        <w:tc>
          <w:tcPr>
            <w:tcW w:w="5580" w:type="dxa"/>
          </w:tcPr>
          <w:p w14:paraId="71BF72EE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Integration of sensors </w:t>
            </w:r>
          </w:p>
          <w:p w14:paraId="58A8FB1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Cloud based technology and VTS</w:t>
            </w:r>
          </w:p>
          <w:p w14:paraId="65B65BAD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 xml:space="preserve">VTS as a service </w:t>
            </w:r>
          </w:p>
          <w:p w14:paraId="1FE7FB61" w14:textId="77777777" w:rsidR="004E00DC" w:rsidRPr="004E00DC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AI enabled decision support tools</w:t>
            </w:r>
          </w:p>
          <w:p w14:paraId="6D028262" w14:textId="77777777" w:rsidR="002D6DAA" w:rsidRDefault="004E00D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4E00DC">
              <w:rPr>
                <w:rFonts w:asciiTheme="minorHAnsi" w:hAnsiTheme="minorHAnsi"/>
                <w:lang w:eastAsia="de-DE"/>
              </w:rPr>
              <w:t>Integration of technologies to support VTS</w:t>
            </w:r>
          </w:p>
          <w:p w14:paraId="63A480D9" w14:textId="29211CF8" w:rsidR="00EE557D" w:rsidRPr="0015044A" w:rsidRDefault="00C44F7C" w:rsidP="007C21DC">
            <w:pPr>
              <w:pStyle w:val="ListParagraph"/>
              <w:numPr>
                <w:ilvl w:val="0"/>
                <w:numId w:val="20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Shore control centre connectivity to MASS</w:t>
            </w:r>
          </w:p>
        </w:tc>
        <w:tc>
          <w:tcPr>
            <w:tcW w:w="2700" w:type="dxa"/>
          </w:tcPr>
          <w:p w14:paraId="323ECF4B" w14:textId="77777777" w:rsidR="002D6DAA" w:rsidRDefault="00FD331E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 xml:space="preserve">1040 (focus: data and information management; technologies) </w:t>
            </w:r>
          </w:p>
          <w:p w14:paraId="38EFF779" w14:textId="280321B3" w:rsidR="00FD331E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</w:tcPr>
          <w:p w14:paraId="158CD6EF" w14:textId="77777777" w:rsidR="002D6DAA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S2</w:t>
            </w:r>
          </w:p>
          <w:p w14:paraId="603F8D26" w14:textId="77777777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68F5B359" w14:textId="64A1DBA9" w:rsidR="004401B3" w:rsidRDefault="004401B3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</w:tcPr>
          <w:p w14:paraId="34EE47BB" w14:textId="77777777" w:rsidR="002D6DAA" w:rsidRDefault="002D6DAA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  <w:tr w:rsidR="002D6DAA" w14:paraId="2655E04D" w14:textId="77777777" w:rsidTr="00101061">
        <w:trPr>
          <w:trHeight w:val="2779"/>
        </w:trPr>
        <w:tc>
          <w:tcPr>
            <w:tcW w:w="805" w:type="dxa"/>
          </w:tcPr>
          <w:p w14:paraId="5F116377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7C36C441" w14:textId="6F85A3BD" w:rsidR="002D6DAA" w:rsidRDefault="00F43C0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Creating and promoting innovations</w:t>
            </w:r>
          </w:p>
        </w:tc>
        <w:tc>
          <w:tcPr>
            <w:tcW w:w="5580" w:type="dxa"/>
          </w:tcPr>
          <w:p w14:paraId="0AE5BD7D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 xml:space="preserve">Highlighting organisations promoting innovations / maritime 'start ups' </w:t>
            </w:r>
          </w:p>
          <w:p w14:paraId="2AA32500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Identify limitations to innovation and mitigate these (i.e. - costs of documentation – IEC, ISO etc.)</w:t>
            </w:r>
          </w:p>
          <w:p w14:paraId="4FCF3A81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Mentoring opportunities</w:t>
            </w:r>
          </w:p>
          <w:p w14:paraId="5C0447F8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Use Catapult structures</w:t>
            </w:r>
          </w:p>
          <w:p w14:paraId="2B49DE85" w14:textId="77777777" w:rsidR="005B273A" w:rsidRPr="005B273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 xml:space="preserve">Form an IALA innovation lab and provide a platform for innovation / presentations </w:t>
            </w:r>
          </w:p>
          <w:p w14:paraId="5C13EC45" w14:textId="4BEA5D99" w:rsidR="002D6DAA" w:rsidRPr="0015044A" w:rsidRDefault="005B273A" w:rsidP="007C21DC">
            <w:pPr>
              <w:pStyle w:val="ListParagraph"/>
              <w:numPr>
                <w:ilvl w:val="0"/>
                <w:numId w:val="21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5B273A">
              <w:rPr>
                <w:rFonts w:asciiTheme="minorHAnsi" w:hAnsiTheme="minorHAnsi"/>
                <w:lang w:eastAsia="de-DE"/>
              </w:rPr>
              <w:t>Link with other 'catapults' / innovation labs</w:t>
            </w:r>
          </w:p>
        </w:tc>
        <w:tc>
          <w:tcPr>
            <w:tcW w:w="2700" w:type="dxa"/>
          </w:tcPr>
          <w:p w14:paraId="0109989A" w14:textId="77777777" w:rsidR="002D6DAA" w:rsidRDefault="00FC15D6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73596A9D" w14:textId="77777777" w:rsidR="00FC15D6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  <w:p w14:paraId="035BFA3F" w14:textId="485BF070" w:rsidR="00AB68FB" w:rsidRDefault="00AB68F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1070 (focus – exchange systems; terminology, symbology and portrayal)</w:t>
            </w:r>
          </w:p>
        </w:tc>
        <w:tc>
          <w:tcPr>
            <w:tcW w:w="1671" w:type="dxa"/>
          </w:tcPr>
          <w:p w14:paraId="000AC9CA" w14:textId="52DC3007" w:rsidR="002D6DAA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642B5375" w14:textId="0B059816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S4</w:t>
            </w:r>
          </w:p>
          <w:p w14:paraId="7A9BFAEE" w14:textId="4DB67248" w:rsidR="00D7658D" w:rsidRDefault="00D7658D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</w:tc>
        <w:tc>
          <w:tcPr>
            <w:tcW w:w="2469" w:type="dxa"/>
          </w:tcPr>
          <w:p w14:paraId="4CF67791" w14:textId="7991A306" w:rsidR="002D6DAA" w:rsidRDefault="003E5EB5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National / regional innovation programs</w:t>
            </w:r>
          </w:p>
        </w:tc>
      </w:tr>
      <w:tr w:rsidR="002D6DAA" w14:paraId="548BAEBC" w14:textId="77777777" w:rsidTr="00101061">
        <w:trPr>
          <w:trHeight w:val="2239"/>
        </w:trPr>
        <w:tc>
          <w:tcPr>
            <w:tcW w:w="805" w:type="dxa"/>
          </w:tcPr>
          <w:p w14:paraId="3EA1FD16" w14:textId="77777777" w:rsidR="002D6DAA" w:rsidRDefault="002D6DAA" w:rsidP="007C21DC">
            <w:pPr>
              <w:pStyle w:val="BodyText"/>
              <w:numPr>
                <w:ilvl w:val="0"/>
                <w:numId w:val="23"/>
              </w:numPr>
              <w:jc w:val="left"/>
              <w:rPr>
                <w:lang w:eastAsia="de-DE"/>
              </w:rPr>
            </w:pPr>
          </w:p>
        </w:tc>
        <w:tc>
          <w:tcPr>
            <w:tcW w:w="1800" w:type="dxa"/>
          </w:tcPr>
          <w:p w14:paraId="478AAFA8" w14:textId="47030FF5" w:rsidR="002D6DAA" w:rsidRDefault="00F07CE4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Virtual / augmented reality</w:t>
            </w:r>
          </w:p>
        </w:tc>
        <w:tc>
          <w:tcPr>
            <w:tcW w:w="5580" w:type="dxa"/>
          </w:tcPr>
          <w:p w14:paraId="46625178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Identify opportunities within IALA </w:t>
            </w:r>
          </w:p>
          <w:p w14:paraId="44DC46A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Simulation of systems</w:t>
            </w:r>
          </w:p>
          <w:p w14:paraId="518E66C1" w14:textId="77777777" w:rsidR="002A3649" w:rsidRPr="002A3649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 xml:space="preserve">Providing enhanced services </w:t>
            </w:r>
          </w:p>
          <w:p w14:paraId="4255037C" w14:textId="77777777" w:rsidR="002D6DAA" w:rsidRDefault="002A3649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 w:rsidRPr="002A3649">
              <w:rPr>
                <w:rFonts w:asciiTheme="minorHAnsi" w:hAnsiTheme="minorHAnsi"/>
                <w:lang w:eastAsia="de-DE"/>
              </w:rPr>
              <w:t>Determine required communication technologies</w:t>
            </w:r>
          </w:p>
          <w:p w14:paraId="3BC19515" w14:textId="77777777" w:rsidR="00171763" w:rsidRDefault="00171763" w:rsidP="007C21D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 xml:space="preserve">Data analytics / AI / Machine learning </w:t>
            </w:r>
          </w:p>
          <w:p w14:paraId="2E819706" w14:textId="2FD06B1D" w:rsidR="00171763" w:rsidRPr="0015044A" w:rsidRDefault="00171763" w:rsidP="007C21DC">
            <w:pPr>
              <w:pStyle w:val="ListParagraph"/>
              <w:numPr>
                <w:ilvl w:val="1"/>
                <w:numId w:val="22"/>
              </w:numPr>
              <w:spacing w:before="40" w:after="40"/>
              <w:ind w:left="706"/>
              <w:contextualSpacing w:val="0"/>
              <w:rPr>
                <w:rFonts w:asciiTheme="minorHAnsi" w:hAnsiTheme="minorHAnsi"/>
                <w:lang w:eastAsia="de-DE"/>
              </w:rPr>
            </w:pPr>
            <w:r>
              <w:rPr>
                <w:rFonts w:asciiTheme="minorHAnsi" w:hAnsiTheme="minorHAnsi"/>
                <w:lang w:eastAsia="de-DE"/>
              </w:rPr>
              <w:t>Big data / effective use of data</w:t>
            </w:r>
            <w:r w:rsidR="00734515">
              <w:rPr>
                <w:rFonts w:asciiTheme="minorHAnsi" w:hAnsiTheme="minorHAnsi"/>
                <w:lang w:eastAsia="de-DE"/>
              </w:rPr>
              <w:t xml:space="preserve"> / management of data </w:t>
            </w:r>
          </w:p>
        </w:tc>
        <w:tc>
          <w:tcPr>
            <w:tcW w:w="2700" w:type="dxa"/>
          </w:tcPr>
          <w:p w14:paraId="3626F764" w14:textId="5C230E60" w:rsidR="00101061" w:rsidRDefault="00101061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1010 (focus: virtual marking; risk management)</w:t>
            </w:r>
          </w:p>
          <w:p w14:paraId="47EB575C" w14:textId="0393A73C" w:rsidR="00DF0A07" w:rsidRDefault="00DF0A07" w:rsidP="00101061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1040 (focus: operations; information and management</w:t>
            </w:r>
            <w:r w:rsidR="005F18AB">
              <w:rPr>
                <w:lang w:eastAsia="de-DE"/>
              </w:rPr>
              <w:t>; technologies</w:t>
            </w:r>
            <w:r>
              <w:rPr>
                <w:lang w:eastAsia="de-DE"/>
              </w:rPr>
              <w:t>)</w:t>
            </w:r>
          </w:p>
          <w:p w14:paraId="3C8B9699" w14:textId="547CCD48" w:rsidR="002D6DAA" w:rsidRDefault="00101061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1060 (focus: harmonised maritime connectivity)</w:t>
            </w:r>
          </w:p>
        </w:tc>
        <w:tc>
          <w:tcPr>
            <w:tcW w:w="1671" w:type="dxa"/>
          </w:tcPr>
          <w:p w14:paraId="699D31F0" w14:textId="77777777" w:rsidR="002D6DAA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S3</w:t>
            </w:r>
          </w:p>
          <w:p w14:paraId="10363DB4" w14:textId="77777777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S5</w:t>
            </w:r>
          </w:p>
          <w:p w14:paraId="521D481E" w14:textId="26EC1E3C" w:rsidR="005F18AB" w:rsidRDefault="005F18AB" w:rsidP="009419CE">
            <w:pPr>
              <w:pStyle w:val="BodyText"/>
              <w:jc w:val="left"/>
              <w:rPr>
                <w:lang w:eastAsia="de-DE"/>
              </w:rPr>
            </w:pPr>
            <w:r>
              <w:rPr>
                <w:lang w:eastAsia="de-DE"/>
              </w:rPr>
              <w:t>S6</w:t>
            </w:r>
          </w:p>
        </w:tc>
        <w:tc>
          <w:tcPr>
            <w:tcW w:w="2469" w:type="dxa"/>
          </w:tcPr>
          <w:p w14:paraId="48648D40" w14:textId="77777777" w:rsidR="002D6DAA" w:rsidRDefault="002D6DAA" w:rsidP="009419CE">
            <w:pPr>
              <w:pStyle w:val="BodyText"/>
              <w:jc w:val="left"/>
              <w:rPr>
                <w:lang w:eastAsia="de-DE"/>
              </w:rPr>
            </w:pPr>
          </w:p>
        </w:tc>
      </w:tr>
    </w:tbl>
    <w:p w14:paraId="7F461F76" w14:textId="77777777" w:rsidR="00DE32DC" w:rsidRDefault="00DE32DC" w:rsidP="009419CE">
      <w:pPr>
        <w:pStyle w:val="BodyText"/>
        <w:jc w:val="left"/>
        <w:rPr>
          <w:lang w:eastAsia="de-DE"/>
        </w:rPr>
      </w:pPr>
    </w:p>
    <w:p w14:paraId="3D183A26" w14:textId="77777777" w:rsidR="0048307E" w:rsidRDefault="0048307E" w:rsidP="009419CE">
      <w:pPr>
        <w:pStyle w:val="BodyText"/>
        <w:jc w:val="left"/>
        <w:rPr>
          <w:lang w:eastAsia="de-DE"/>
        </w:rPr>
      </w:pPr>
    </w:p>
    <w:p w14:paraId="519DDD26" w14:textId="77777777" w:rsidR="0048307E" w:rsidRDefault="0048307E" w:rsidP="009419CE">
      <w:pPr>
        <w:pStyle w:val="BodyText"/>
        <w:jc w:val="left"/>
        <w:rPr>
          <w:lang w:eastAsia="de-DE"/>
        </w:rPr>
        <w:sectPr w:rsidR="0048307E" w:rsidSect="00D04401">
          <w:pgSz w:w="16838" w:h="11906" w:orient="landscape"/>
          <w:pgMar w:top="991" w:right="1134" w:bottom="1134" w:left="709" w:header="709" w:footer="709" w:gutter="0"/>
          <w:cols w:space="708"/>
          <w:docGrid w:linePitch="360"/>
        </w:sectPr>
      </w:pPr>
    </w:p>
    <w:p w14:paraId="36128A71" w14:textId="6CF03397" w:rsidR="0048307E" w:rsidRDefault="0048307E" w:rsidP="0048307E">
      <w:pPr>
        <w:pStyle w:val="Heading1"/>
      </w:pPr>
      <w:r>
        <w:lastRenderedPageBreak/>
        <w:t>Additional Items</w:t>
      </w:r>
    </w:p>
    <w:p w14:paraId="21919A69" w14:textId="38B30A3C" w:rsidR="00DE32DC" w:rsidRDefault="00DE32DC" w:rsidP="009419CE">
      <w:pPr>
        <w:pStyle w:val="BodyText"/>
        <w:jc w:val="left"/>
        <w:rPr>
          <w:lang w:eastAsia="de-DE"/>
        </w:rPr>
      </w:pPr>
      <w:r>
        <w:rPr>
          <w:lang w:eastAsia="de-DE"/>
        </w:rPr>
        <w:t>Additional items identified, that did not come in at the high priority rating</w:t>
      </w:r>
      <w:r w:rsidR="00101061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04D395B0" w14:textId="246CF30F" w:rsidR="002335BF" w:rsidRPr="00101061" w:rsidRDefault="002335BF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Efficiencies in real time monitoring</w:t>
      </w:r>
    </w:p>
    <w:p w14:paraId="44223204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Monitoring AtoN measuring Quality of Service</w:t>
      </w:r>
    </w:p>
    <w:p w14:paraId="6EE59C51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The use of terrestrial / satellite systems</w:t>
      </w:r>
    </w:p>
    <w:p w14:paraId="79AAB99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In field changes to i.e. battery until battery on scene</w:t>
      </w:r>
    </w:p>
    <w:p w14:paraId="5F17EC59" w14:textId="77777777" w:rsidR="002335BF" w:rsidRDefault="002335BF" w:rsidP="007C21DC">
      <w:pPr>
        <w:pStyle w:val="BodyText"/>
        <w:numPr>
          <w:ilvl w:val="0"/>
          <w:numId w:val="25"/>
        </w:numPr>
        <w:jc w:val="left"/>
        <w:rPr>
          <w:lang w:eastAsia="de-DE"/>
        </w:rPr>
      </w:pPr>
      <w:r>
        <w:rPr>
          <w:lang w:eastAsia="de-DE"/>
        </w:rPr>
        <w:t>Changing the paradigm - report failure to stop systems failing dealing with 'pre failure' maintenance and support</w:t>
      </w:r>
    </w:p>
    <w:p w14:paraId="26E6C4A7" w14:textId="63D1F923" w:rsidR="004F4BF5" w:rsidRPr="00101061" w:rsidRDefault="004F4BF5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Digital Twin</w:t>
      </w:r>
    </w:p>
    <w:p w14:paraId="7E130BD0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What is it and how it applies to AtoN</w:t>
      </w:r>
    </w:p>
    <w:p w14:paraId="3BB91FE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How can we use the information for maintenance</w:t>
      </w:r>
    </w:p>
    <w:p w14:paraId="4809A5C7" w14:textId="77777777" w:rsidR="004F4BF5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 xml:space="preserve">How to share information </w:t>
      </w:r>
    </w:p>
    <w:p w14:paraId="7210159E" w14:textId="1A517E27" w:rsidR="004F4BF5" w:rsidRPr="00856F9B" w:rsidRDefault="004F4BF5" w:rsidP="007C21DC">
      <w:pPr>
        <w:pStyle w:val="BodyText"/>
        <w:numPr>
          <w:ilvl w:val="0"/>
          <w:numId w:val="26"/>
        </w:numPr>
        <w:jc w:val="left"/>
        <w:rPr>
          <w:lang w:eastAsia="de-DE"/>
        </w:rPr>
      </w:pPr>
      <w:r>
        <w:rPr>
          <w:lang w:eastAsia="de-DE"/>
        </w:rPr>
        <w:t>Supporting just in time arrivals</w:t>
      </w:r>
    </w:p>
    <w:p w14:paraId="51B4275F" w14:textId="77777777" w:rsidR="00F54F44" w:rsidRPr="00101061" w:rsidRDefault="00F54F44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Drones</w:t>
      </w:r>
    </w:p>
    <w:p w14:paraId="3D471F44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Uses cases in IALA domain</w:t>
      </w:r>
    </w:p>
    <w:p w14:paraId="6C875B40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Threat to AtoN security</w:t>
      </w:r>
    </w:p>
    <w:p w14:paraId="1FC4A781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 xml:space="preserve">Drone sensor and data </w:t>
      </w:r>
    </w:p>
    <w:p w14:paraId="565AC013" w14:textId="77777777" w:rsidR="00F54F44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Drone monitoring of AtoN</w:t>
      </w:r>
    </w:p>
    <w:p w14:paraId="03C9DF2F" w14:textId="77777777" w:rsidR="00101061" w:rsidRDefault="00F54F44" w:rsidP="007C21DC">
      <w:pPr>
        <w:pStyle w:val="BodyText"/>
        <w:numPr>
          <w:ilvl w:val="0"/>
          <w:numId w:val="27"/>
        </w:numPr>
        <w:jc w:val="left"/>
        <w:rPr>
          <w:lang w:eastAsia="de-DE"/>
        </w:rPr>
      </w:pPr>
      <w:r>
        <w:rPr>
          <w:lang w:eastAsia="de-DE"/>
        </w:rPr>
        <w:t>Use of Drone in SAR</w:t>
      </w:r>
    </w:p>
    <w:p w14:paraId="7821C050" w14:textId="4E433C09" w:rsidR="0048307E" w:rsidRPr="00101061" w:rsidRDefault="0048307E" w:rsidP="00101061">
      <w:pPr>
        <w:pStyle w:val="BodyText"/>
        <w:jc w:val="left"/>
        <w:rPr>
          <w:b/>
          <w:bCs/>
          <w:i/>
          <w:iCs/>
          <w:lang w:eastAsia="de-DE"/>
        </w:rPr>
      </w:pPr>
      <w:r w:rsidRPr="00101061">
        <w:rPr>
          <w:b/>
          <w:bCs/>
          <w:i/>
          <w:iCs/>
          <w:lang w:eastAsia="de-DE"/>
        </w:rPr>
        <w:t>Human elements and technology</w:t>
      </w:r>
    </w:p>
    <w:p w14:paraId="41DBBACB" w14:textId="77777777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r>
        <w:rPr>
          <w:lang w:eastAsia="de-DE"/>
        </w:rPr>
        <w:t>Training</w:t>
      </w:r>
    </w:p>
    <w:p w14:paraId="6EAAF5D2" w14:textId="2599CFCB" w:rsidR="0048307E" w:rsidRDefault="0048307E" w:rsidP="007C21DC">
      <w:pPr>
        <w:pStyle w:val="BodyText"/>
        <w:numPr>
          <w:ilvl w:val="0"/>
          <w:numId w:val="28"/>
        </w:numPr>
        <w:jc w:val="left"/>
        <w:rPr>
          <w:lang w:eastAsia="de-DE"/>
        </w:rPr>
      </w:pPr>
      <w:r>
        <w:rPr>
          <w:lang w:eastAsia="de-DE"/>
        </w:rPr>
        <w:t>Human Machine Interface</w:t>
      </w:r>
    </w:p>
    <w:p w14:paraId="1A7D87AD" w14:textId="77777777" w:rsidR="00F81DC4" w:rsidRDefault="00F81DC4" w:rsidP="002F4133">
      <w:pPr>
        <w:pStyle w:val="BodyText"/>
        <w:rPr>
          <w:lang w:eastAsia="de-DE"/>
        </w:rPr>
      </w:pPr>
    </w:p>
    <w:sectPr w:rsidR="00F81DC4" w:rsidSect="0048307E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B027F" w14:textId="77777777" w:rsidR="00F76C6B" w:rsidRDefault="00F76C6B" w:rsidP="00362CD9">
      <w:r>
        <w:separator/>
      </w:r>
    </w:p>
  </w:endnote>
  <w:endnote w:type="continuationSeparator" w:id="0">
    <w:p w14:paraId="0A99EC72" w14:textId="77777777" w:rsidR="00F76C6B" w:rsidRDefault="00F76C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3E67824A" w:rsidR="009725AA" w:rsidRDefault="009725AA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0BED2090" w:rsidR="009725AA" w:rsidRDefault="00972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9C32" w14:textId="77777777" w:rsidR="00F76C6B" w:rsidRDefault="00F76C6B" w:rsidP="00362CD9">
      <w:r>
        <w:separator/>
      </w:r>
    </w:p>
  </w:footnote>
  <w:footnote w:type="continuationSeparator" w:id="0">
    <w:p w14:paraId="22B94DEC" w14:textId="77777777" w:rsidR="00F76C6B" w:rsidRDefault="00F76C6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17C8AB5A" w:rsidR="009725AA" w:rsidRDefault="009725AA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1D14C9C9" w:rsidR="009725AA" w:rsidRDefault="009725AA" w:rsidP="000C0B1C">
    <w:pPr>
      <w:pStyle w:val="Header"/>
      <w:tabs>
        <w:tab w:val="clear" w:pos="9639"/>
        <w:tab w:val="right" w:pos="5954"/>
      </w:tabs>
      <w:spacing w:after="240"/>
      <w:jc w:val="center"/>
    </w:pPr>
    <w:r w:rsidRPr="000C0B1C">
      <w:rPr>
        <w:rFonts w:ascii="Calibri" w:hAnsi="Calibri"/>
        <w:noProof/>
        <w:highlight w:val="yellow"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0B1C" w:rsidRPr="000C0B1C">
      <w:rPr>
        <w:highlight w:val="yellow"/>
      </w:rPr>
      <w:t>DRAFT</w:t>
    </w:r>
    <w:r w:rsidR="000C0B1C">
      <w:t xml:space="preserve"> – Working Document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9725AA" w:rsidRDefault="009725AA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50292"/>
    <w:multiLevelType w:val="hybridMultilevel"/>
    <w:tmpl w:val="7A9C5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6545"/>
    <w:multiLevelType w:val="hybridMultilevel"/>
    <w:tmpl w:val="A6D49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F4C77"/>
    <w:multiLevelType w:val="hybridMultilevel"/>
    <w:tmpl w:val="4C3C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486FA6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293E67"/>
    <w:multiLevelType w:val="hybridMultilevel"/>
    <w:tmpl w:val="7B5C0E3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66C373D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EA5C78"/>
    <w:multiLevelType w:val="hybridMultilevel"/>
    <w:tmpl w:val="4520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849B1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87860"/>
    <w:multiLevelType w:val="hybridMultilevel"/>
    <w:tmpl w:val="75387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A77E3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BE15B9"/>
    <w:multiLevelType w:val="hybridMultilevel"/>
    <w:tmpl w:val="B6B27A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7"/>
  </w:num>
  <w:num w:numId="3">
    <w:abstractNumId w:val="4"/>
  </w:num>
  <w:num w:numId="4">
    <w:abstractNumId w:val="26"/>
  </w:num>
  <w:num w:numId="5">
    <w:abstractNumId w:val="11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8"/>
  </w:num>
  <w:num w:numId="11">
    <w:abstractNumId w:val="20"/>
  </w:num>
  <w:num w:numId="12">
    <w:abstractNumId w:val="15"/>
  </w:num>
  <w:num w:numId="13">
    <w:abstractNumId w:val="14"/>
  </w:num>
  <w:num w:numId="14">
    <w:abstractNumId w:val="6"/>
  </w:num>
  <w:num w:numId="15">
    <w:abstractNumId w:val="16"/>
  </w:num>
  <w:num w:numId="16">
    <w:abstractNumId w:val="1"/>
  </w:num>
  <w:num w:numId="17">
    <w:abstractNumId w:val="27"/>
  </w:num>
  <w:num w:numId="18">
    <w:abstractNumId w:val="13"/>
  </w:num>
  <w:num w:numId="19">
    <w:abstractNumId w:val="25"/>
  </w:num>
  <w:num w:numId="20">
    <w:abstractNumId w:val="5"/>
  </w:num>
  <w:num w:numId="21">
    <w:abstractNumId w:val="10"/>
  </w:num>
  <w:num w:numId="22">
    <w:abstractNumId w:val="22"/>
  </w:num>
  <w:num w:numId="23">
    <w:abstractNumId w:val="21"/>
  </w:num>
  <w:num w:numId="24">
    <w:abstractNumId w:val="7"/>
  </w:num>
  <w:num w:numId="25">
    <w:abstractNumId w:val="0"/>
  </w:num>
  <w:num w:numId="26">
    <w:abstractNumId w:val="3"/>
  </w:num>
  <w:num w:numId="27">
    <w:abstractNumId w:val="12"/>
  </w:num>
  <w:num w:numId="28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0BA8"/>
    <w:rsid w:val="0000219D"/>
    <w:rsid w:val="000049D8"/>
    <w:rsid w:val="00004D0D"/>
    <w:rsid w:val="00030D39"/>
    <w:rsid w:val="00032301"/>
    <w:rsid w:val="00034443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C0B1C"/>
    <w:rsid w:val="000C1B3E"/>
    <w:rsid w:val="000C390D"/>
    <w:rsid w:val="000C7872"/>
    <w:rsid w:val="00101061"/>
    <w:rsid w:val="00103C98"/>
    <w:rsid w:val="00107F61"/>
    <w:rsid w:val="00110AE7"/>
    <w:rsid w:val="00137A73"/>
    <w:rsid w:val="0015044A"/>
    <w:rsid w:val="00152F4E"/>
    <w:rsid w:val="00154D83"/>
    <w:rsid w:val="00170285"/>
    <w:rsid w:val="00171763"/>
    <w:rsid w:val="00177F4D"/>
    <w:rsid w:val="00180DDA"/>
    <w:rsid w:val="001922CE"/>
    <w:rsid w:val="001A4356"/>
    <w:rsid w:val="001B2A2D"/>
    <w:rsid w:val="001B3721"/>
    <w:rsid w:val="001B737D"/>
    <w:rsid w:val="001C44A3"/>
    <w:rsid w:val="001E0E15"/>
    <w:rsid w:val="001F528A"/>
    <w:rsid w:val="001F704E"/>
    <w:rsid w:val="00201722"/>
    <w:rsid w:val="00210FDE"/>
    <w:rsid w:val="00211E2C"/>
    <w:rsid w:val="002125B0"/>
    <w:rsid w:val="0021617F"/>
    <w:rsid w:val="00230638"/>
    <w:rsid w:val="002335BF"/>
    <w:rsid w:val="00235B69"/>
    <w:rsid w:val="00243228"/>
    <w:rsid w:val="00243CA6"/>
    <w:rsid w:val="00251483"/>
    <w:rsid w:val="00255CAA"/>
    <w:rsid w:val="00260A2D"/>
    <w:rsid w:val="00263248"/>
    <w:rsid w:val="00264305"/>
    <w:rsid w:val="002804D3"/>
    <w:rsid w:val="002917F6"/>
    <w:rsid w:val="00294442"/>
    <w:rsid w:val="0029483E"/>
    <w:rsid w:val="002A0346"/>
    <w:rsid w:val="002A1516"/>
    <w:rsid w:val="002A3649"/>
    <w:rsid w:val="002A4487"/>
    <w:rsid w:val="002A7EF8"/>
    <w:rsid w:val="002B49E9"/>
    <w:rsid w:val="002C632E"/>
    <w:rsid w:val="002D3E8B"/>
    <w:rsid w:val="002D4575"/>
    <w:rsid w:val="002D5C0C"/>
    <w:rsid w:val="002D6DAA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4E1"/>
    <w:rsid w:val="00356CD0"/>
    <w:rsid w:val="00362CD9"/>
    <w:rsid w:val="00364C58"/>
    <w:rsid w:val="003761CA"/>
    <w:rsid w:val="00380A12"/>
    <w:rsid w:val="00380DAF"/>
    <w:rsid w:val="00381772"/>
    <w:rsid w:val="00392E07"/>
    <w:rsid w:val="00395336"/>
    <w:rsid w:val="003972CE"/>
    <w:rsid w:val="003A3482"/>
    <w:rsid w:val="003A4E95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69D0"/>
    <w:rsid w:val="003E5EB5"/>
    <w:rsid w:val="003E6583"/>
    <w:rsid w:val="003F2918"/>
    <w:rsid w:val="003F3E00"/>
    <w:rsid w:val="003F430E"/>
    <w:rsid w:val="003F502C"/>
    <w:rsid w:val="003F7A2F"/>
    <w:rsid w:val="00400C64"/>
    <w:rsid w:val="00401227"/>
    <w:rsid w:val="0041088C"/>
    <w:rsid w:val="00417AD5"/>
    <w:rsid w:val="00420A38"/>
    <w:rsid w:val="004227E6"/>
    <w:rsid w:val="00423C27"/>
    <w:rsid w:val="004248D0"/>
    <w:rsid w:val="00431B19"/>
    <w:rsid w:val="00434717"/>
    <w:rsid w:val="004401B3"/>
    <w:rsid w:val="0044054E"/>
    <w:rsid w:val="00441BA5"/>
    <w:rsid w:val="004661AD"/>
    <w:rsid w:val="00476A3D"/>
    <w:rsid w:val="00480C49"/>
    <w:rsid w:val="0048307E"/>
    <w:rsid w:val="00484701"/>
    <w:rsid w:val="00493978"/>
    <w:rsid w:val="004B27BB"/>
    <w:rsid w:val="004C28A8"/>
    <w:rsid w:val="004D1D85"/>
    <w:rsid w:val="004D3C3A"/>
    <w:rsid w:val="004D6B41"/>
    <w:rsid w:val="004E00DC"/>
    <w:rsid w:val="004E1CD1"/>
    <w:rsid w:val="004E4A70"/>
    <w:rsid w:val="004F0C40"/>
    <w:rsid w:val="004F4BF5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5CC4"/>
    <w:rsid w:val="00551FFF"/>
    <w:rsid w:val="005607A2"/>
    <w:rsid w:val="0057198B"/>
    <w:rsid w:val="00573CFE"/>
    <w:rsid w:val="00575C6A"/>
    <w:rsid w:val="00584689"/>
    <w:rsid w:val="005969F2"/>
    <w:rsid w:val="00597FAE"/>
    <w:rsid w:val="005A713A"/>
    <w:rsid w:val="005B273A"/>
    <w:rsid w:val="005B32A3"/>
    <w:rsid w:val="005B391F"/>
    <w:rsid w:val="005C0D44"/>
    <w:rsid w:val="005C162F"/>
    <w:rsid w:val="005C566C"/>
    <w:rsid w:val="005C7E69"/>
    <w:rsid w:val="005E262D"/>
    <w:rsid w:val="005E2A98"/>
    <w:rsid w:val="005E4FA7"/>
    <w:rsid w:val="005F08D5"/>
    <w:rsid w:val="005F18AB"/>
    <w:rsid w:val="005F23D3"/>
    <w:rsid w:val="005F3E09"/>
    <w:rsid w:val="005F7E20"/>
    <w:rsid w:val="006011CA"/>
    <w:rsid w:val="00605E43"/>
    <w:rsid w:val="006151A9"/>
    <w:rsid w:val="006153BB"/>
    <w:rsid w:val="00632C43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6FAB"/>
    <w:rsid w:val="006F7B0F"/>
    <w:rsid w:val="007118F5"/>
    <w:rsid w:val="00712AA4"/>
    <w:rsid w:val="007146C4"/>
    <w:rsid w:val="00717A6A"/>
    <w:rsid w:val="00721AA1"/>
    <w:rsid w:val="00724B67"/>
    <w:rsid w:val="00734515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1E60"/>
    <w:rsid w:val="007C21DC"/>
    <w:rsid w:val="007C346C"/>
    <w:rsid w:val="007C3820"/>
    <w:rsid w:val="007D5349"/>
    <w:rsid w:val="007E3C4D"/>
    <w:rsid w:val="007F74C1"/>
    <w:rsid w:val="007F7E0A"/>
    <w:rsid w:val="007F7EC8"/>
    <w:rsid w:val="0080294B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6F9B"/>
    <w:rsid w:val="00857F73"/>
    <w:rsid w:val="00861160"/>
    <w:rsid w:val="008611A5"/>
    <w:rsid w:val="0086654F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4FAD"/>
    <w:rsid w:val="008D79CB"/>
    <w:rsid w:val="008F07BC"/>
    <w:rsid w:val="009019DB"/>
    <w:rsid w:val="00906BC1"/>
    <w:rsid w:val="0092692B"/>
    <w:rsid w:val="00927B22"/>
    <w:rsid w:val="009419CE"/>
    <w:rsid w:val="00943E9C"/>
    <w:rsid w:val="00953F4D"/>
    <w:rsid w:val="00955310"/>
    <w:rsid w:val="00960BB8"/>
    <w:rsid w:val="00960C7C"/>
    <w:rsid w:val="00960F8A"/>
    <w:rsid w:val="00964F5C"/>
    <w:rsid w:val="009725AA"/>
    <w:rsid w:val="00976184"/>
    <w:rsid w:val="00982324"/>
    <w:rsid w:val="009831C0"/>
    <w:rsid w:val="00984625"/>
    <w:rsid w:val="0099161D"/>
    <w:rsid w:val="009A3528"/>
    <w:rsid w:val="009A64DA"/>
    <w:rsid w:val="009B5460"/>
    <w:rsid w:val="009B5EF5"/>
    <w:rsid w:val="009C7157"/>
    <w:rsid w:val="009E498A"/>
    <w:rsid w:val="009E54B0"/>
    <w:rsid w:val="00A02764"/>
    <w:rsid w:val="00A0389B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72837"/>
    <w:rsid w:val="00A8553A"/>
    <w:rsid w:val="00A85594"/>
    <w:rsid w:val="00A93AED"/>
    <w:rsid w:val="00AA5F67"/>
    <w:rsid w:val="00AB68FB"/>
    <w:rsid w:val="00AC5483"/>
    <w:rsid w:val="00AC6B53"/>
    <w:rsid w:val="00AD46C3"/>
    <w:rsid w:val="00AE1319"/>
    <w:rsid w:val="00AE34BB"/>
    <w:rsid w:val="00AE4B71"/>
    <w:rsid w:val="00AE4FC8"/>
    <w:rsid w:val="00AF277A"/>
    <w:rsid w:val="00B04683"/>
    <w:rsid w:val="00B13285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554D"/>
    <w:rsid w:val="00B96025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5CE5"/>
    <w:rsid w:val="00C0600A"/>
    <w:rsid w:val="00C21722"/>
    <w:rsid w:val="00C27135"/>
    <w:rsid w:val="00C30053"/>
    <w:rsid w:val="00C44F7C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04401"/>
    <w:rsid w:val="00D102D6"/>
    <w:rsid w:val="00D1133E"/>
    <w:rsid w:val="00D17A34"/>
    <w:rsid w:val="00D26628"/>
    <w:rsid w:val="00D332B3"/>
    <w:rsid w:val="00D55207"/>
    <w:rsid w:val="00D6023F"/>
    <w:rsid w:val="00D65064"/>
    <w:rsid w:val="00D66D7E"/>
    <w:rsid w:val="00D70AA4"/>
    <w:rsid w:val="00D7658D"/>
    <w:rsid w:val="00D81801"/>
    <w:rsid w:val="00D81F4B"/>
    <w:rsid w:val="00D91744"/>
    <w:rsid w:val="00D92B45"/>
    <w:rsid w:val="00D95962"/>
    <w:rsid w:val="00DA0E08"/>
    <w:rsid w:val="00DA3F35"/>
    <w:rsid w:val="00DB2DD9"/>
    <w:rsid w:val="00DC1C32"/>
    <w:rsid w:val="00DC389B"/>
    <w:rsid w:val="00DC46DF"/>
    <w:rsid w:val="00DD47CD"/>
    <w:rsid w:val="00DE2FEE"/>
    <w:rsid w:val="00DE32DC"/>
    <w:rsid w:val="00DF0A07"/>
    <w:rsid w:val="00DF1227"/>
    <w:rsid w:val="00DF188A"/>
    <w:rsid w:val="00E00BE9"/>
    <w:rsid w:val="00E22A11"/>
    <w:rsid w:val="00E26B39"/>
    <w:rsid w:val="00E31E5C"/>
    <w:rsid w:val="00E40220"/>
    <w:rsid w:val="00E44DD2"/>
    <w:rsid w:val="00E558C3"/>
    <w:rsid w:val="00E55927"/>
    <w:rsid w:val="00E56E90"/>
    <w:rsid w:val="00E606AA"/>
    <w:rsid w:val="00E60984"/>
    <w:rsid w:val="00E638AB"/>
    <w:rsid w:val="00E912A6"/>
    <w:rsid w:val="00E95724"/>
    <w:rsid w:val="00EA4844"/>
    <w:rsid w:val="00EA4D9C"/>
    <w:rsid w:val="00EA5A97"/>
    <w:rsid w:val="00EB4D6A"/>
    <w:rsid w:val="00EB75EE"/>
    <w:rsid w:val="00EE4C1D"/>
    <w:rsid w:val="00EE557D"/>
    <w:rsid w:val="00EF3685"/>
    <w:rsid w:val="00F04350"/>
    <w:rsid w:val="00F07CE4"/>
    <w:rsid w:val="00F10810"/>
    <w:rsid w:val="00F133DB"/>
    <w:rsid w:val="00F159EB"/>
    <w:rsid w:val="00F20A13"/>
    <w:rsid w:val="00F22203"/>
    <w:rsid w:val="00F25BF4"/>
    <w:rsid w:val="00F267DB"/>
    <w:rsid w:val="00F43C04"/>
    <w:rsid w:val="00F46F6F"/>
    <w:rsid w:val="00F51D0A"/>
    <w:rsid w:val="00F54F44"/>
    <w:rsid w:val="00F60608"/>
    <w:rsid w:val="00F62217"/>
    <w:rsid w:val="00F65AED"/>
    <w:rsid w:val="00F724DF"/>
    <w:rsid w:val="00F76C6B"/>
    <w:rsid w:val="00F77CCD"/>
    <w:rsid w:val="00F80C2C"/>
    <w:rsid w:val="00F81DC4"/>
    <w:rsid w:val="00F8245E"/>
    <w:rsid w:val="00F838F2"/>
    <w:rsid w:val="00FA351C"/>
    <w:rsid w:val="00FB17A9"/>
    <w:rsid w:val="00FB3327"/>
    <w:rsid w:val="00FB527C"/>
    <w:rsid w:val="00FB6F75"/>
    <w:rsid w:val="00FC0EB3"/>
    <w:rsid w:val="00FC15D6"/>
    <w:rsid w:val="00FC294F"/>
    <w:rsid w:val="00FC29E4"/>
    <w:rsid w:val="00FD331E"/>
    <w:rsid w:val="00FD675E"/>
    <w:rsid w:val="00FE5008"/>
    <w:rsid w:val="00FE5674"/>
    <w:rsid w:val="00FE71DC"/>
    <w:rsid w:val="00FF25B1"/>
    <w:rsid w:val="00FF535A"/>
    <w:rsid w:val="00FF5FAF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1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ridTable4-Accent1">
    <w:name w:val="Grid Table 4 Accent 1"/>
    <w:basedOn w:val="TableNormal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TableNormal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leGridLight">
    <w:name w:val="Grid Table Light"/>
    <w:basedOn w:val="TableNormal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674A63-D57B-482E-B57B-5D0EAE49573F}"/>
</file>

<file path=customXml/itemProps2.xml><?xml version="1.0" encoding="utf-8"?>
<ds:datastoreItem xmlns:ds="http://schemas.openxmlformats.org/officeDocument/2006/customXml" ds:itemID="{DD81D024-E7AD-44AC-90A5-FF02E6577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Jillian Carson-Jackson</cp:lastModifiedBy>
  <cp:revision>75</cp:revision>
  <dcterms:created xsi:type="dcterms:W3CDTF">2021-03-26T01:02:00Z</dcterms:created>
  <dcterms:modified xsi:type="dcterms:W3CDTF">2021-03-26T04:56:00Z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