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r>
        <w:t>1</w:t>
      </w:r>
      <w:r w:rsidR="00914330" w:rsidRPr="00914330">
        <w:rPr>
          <w:highlight w:val="yellow"/>
        </w:rPr>
        <w:t>???</w:t>
      </w:r>
    </w:p>
    <w:p w:rsidR="0026038D" w:rsidRDefault="0026038D" w:rsidP="003274DB"/>
    <w:p w:rsidR="00776004" w:rsidRPr="00ED4450" w:rsidRDefault="0010775B" w:rsidP="006218E8">
      <w:pPr>
        <w:pStyle w:val="Documentname"/>
      </w:pPr>
      <w:r>
        <w:rPr>
          <w:bCs/>
        </w:rPr>
        <w:t xml:space="preserve">Technical Aspects of </w:t>
      </w:r>
      <w:r w:rsidR="00912674">
        <w:rPr>
          <w:bCs/>
        </w:rPr>
        <w:t>INFORMATION</w:t>
      </w:r>
      <w:r>
        <w:rPr>
          <w:bCs/>
        </w:rPr>
        <w:t xml:space="preserve"> Exchange </w:t>
      </w:r>
      <w:r w:rsidR="00912674">
        <w:rPr>
          <w:bCs/>
        </w:rPr>
        <w:t>Between VTS and Allied or Other Service</w:t>
      </w:r>
      <w:r>
        <w:rPr>
          <w:bCs/>
        </w:rPr>
        <w:t>s</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384075" w:rsidRDefault="00384075" w:rsidP="00D74AE1"/>
    <w:p w:rsidR="00384075" w:rsidRDefault="00384075" w:rsidP="00D74AE1"/>
    <w:p w:rsidR="004E0BBB" w:rsidRDefault="004E0BBB" w:rsidP="004E0BBB">
      <w:pPr>
        <w:pStyle w:val="Editionnumber"/>
      </w:pPr>
      <w:r>
        <w:lastRenderedPageBreak/>
        <w:t>Edition 1.0</w:t>
      </w:r>
    </w:p>
    <w:p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914E26" w:rsidP="00914E26">
            <w:pPr>
              <w:pStyle w:val="Tabletext"/>
            </w:pPr>
          </w:p>
        </w:tc>
        <w:tc>
          <w:tcPr>
            <w:tcW w:w="3576" w:type="dxa"/>
            <w:vAlign w:val="center"/>
          </w:tcPr>
          <w:p w:rsidR="00914E26" w:rsidRPr="00C27E0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rsidR="00B67A4C"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67A4C">
        <w:t>1</w:t>
      </w:r>
      <w:r w:rsidR="00B67A4C">
        <w:rPr>
          <w:rFonts w:eastAsiaTheme="minorEastAsia"/>
          <w:b w:val="0"/>
          <w:color w:val="auto"/>
          <w:lang w:eastAsia="en-GB"/>
        </w:rPr>
        <w:tab/>
      </w:r>
      <w:r w:rsidR="00B67A4C">
        <w:t>INTRODUCTION</w:t>
      </w:r>
      <w:r w:rsidR="00B67A4C">
        <w:tab/>
      </w:r>
      <w:r w:rsidR="00B67A4C">
        <w:fldChar w:fldCharType="begin"/>
      </w:r>
      <w:r w:rsidR="00B67A4C">
        <w:instrText xml:space="preserve"> PAGEREF _Toc477959364 \h </w:instrText>
      </w:r>
      <w:r w:rsidR="00B67A4C">
        <w:fldChar w:fldCharType="separate"/>
      </w:r>
      <w:r w:rsidR="00B67A4C">
        <w:t>5</w:t>
      </w:r>
      <w:r w:rsidR="00B67A4C">
        <w:fldChar w:fldCharType="end"/>
      </w:r>
    </w:p>
    <w:p w:rsidR="00B67A4C" w:rsidRDefault="00B67A4C">
      <w:pPr>
        <w:pStyle w:val="TOC2"/>
        <w:rPr>
          <w:rFonts w:eastAsiaTheme="minorEastAsia"/>
          <w:color w:val="auto"/>
          <w:lang w:eastAsia="en-GB"/>
        </w:rPr>
      </w:pPr>
      <w:r>
        <w:t>1.1</w:t>
      </w:r>
      <w:r>
        <w:rPr>
          <w:rFonts w:eastAsiaTheme="minorEastAsia"/>
          <w:color w:val="auto"/>
          <w:lang w:eastAsia="en-GB"/>
        </w:rPr>
        <w:tab/>
      </w:r>
      <w:r>
        <w:t>Preamble</w:t>
      </w:r>
      <w:r>
        <w:tab/>
      </w:r>
      <w:r>
        <w:fldChar w:fldCharType="begin"/>
      </w:r>
      <w:r>
        <w:instrText xml:space="preserve"> PAGEREF _Toc477959365 \h </w:instrText>
      </w:r>
      <w:r>
        <w:fldChar w:fldCharType="separate"/>
      </w:r>
      <w:r>
        <w:t>5</w:t>
      </w:r>
      <w:r>
        <w:fldChar w:fldCharType="end"/>
      </w:r>
    </w:p>
    <w:p w:rsidR="00B67A4C" w:rsidRDefault="00B67A4C">
      <w:pPr>
        <w:pStyle w:val="TOC2"/>
        <w:rPr>
          <w:rFonts w:eastAsiaTheme="minorEastAsia"/>
          <w:color w:val="auto"/>
          <w:lang w:eastAsia="en-GB"/>
        </w:rPr>
      </w:pPr>
      <w:r>
        <w:t>1.2</w:t>
      </w:r>
      <w:r>
        <w:rPr>
          <w:rFonts w:eastAsiaTheme="minorEastAsia"/>
          <w:color w:val="auto"/>
          <w:lang w:eastAsia="en-GB"/>
        </w:rPr>
        <w:tab/>
      </w:r>
      <w:r>
        <w:t>Objective</w:t>
      </w:r>
      <w:r>
        <w:tab/>
      </w:r>
      <w:r>
        <w:fldChar w:fldCharType="begin"/>
      </w:r>
      <w:r>
        <w:instrText xml:space="preserve"> PAGEREF _Toc477959366 \h </w:instrText>
      </w:r>
      <w:r>
        <w:fldChar w:fldCharType="separate"/>
      </w:r>
      <w:r>
        <w:t>5</w:t>
      </w:r>
      <w:r>
        <w:fldChar w:fldCharType="end"/>
      </w:r>
    </w:p>
    <w:p w:rsidR="00B67A4C" w:rsidRDefault="00B67A4C">
      <w:pPr>
        <w:pStyle w:val="TOC1"/>
        <w:rPr>
          <w:rFonts w:eastAsiaTheme="minorEastAsia"/>
          <w:b w:val="0"/>
          <w:color w:val="auto"/>
          <w:lang w:eastAsia="en-GB"/>
        </w:rPr>
      </w:pPr>
      <w:r>
        <w:t>2</w:t>
      </w:r>
      <w:r>
        <w:rPr>
          <w:rFonts w:eastAsiaTheme="minorEastAsia"/>
          <w:b w:val="0"/>
          <w:color w:val="auto"/>
          <w:lang w:eastAsia="en-GB"/>
        </w:rPr>
        <w:tab/>
      </w:r>
      <w:r>
        <w:t>INFORMATION EXCHANGE BETWEEN VTS AND ALLIED OR OTHER SERVICES</w:t>
      </w:r>
      <w:r>
        <w:tab/>
      </w:r>
      <w:r>
        <w:fldChar w:fldCharType="begin"/>
      </w:r>
      <w:r>
        <w:instrText xml:space="preserve"> PAGEREF _Toc477959367 \h </w:instrText>
      </w:r>
      <w:r>
        <w:fldChar w:fldCharType="separate"/>
      </w:r>
      <w:r>
        <w:t>6</w:t>
      </w:r>
      <w:r>
        <w:fldChar w:fldCharType="end"/>
      </w:r>
    </w:p>
    <w:p w:rsidR="00B67A4C" w:rsidRDefault="00B67A4C">
      <w:pPr>
        <w:pStyle w:val="TOC2"/>
        <w:rPr>
          <w:rFonts w:eastAsiaTheme="minorEastAsia"/>
          <w:color w:val="auto"/>
          <w:lang w:eastAsia="en-GB"/>
        </w:rPr>
      </w:pPr>
      <w:r>
        <w:t>2.1</w:t>
      </w:r>
      <w:r>
        <w:rPr>
          <w:rFonts w:eastAsiaTheme="minorEastAsia"/>
          <w:color w:val="auto"/>
          <w:lang w:eastAsia="en-GB"/>
        </w:rPr>
        <w:tab/>
      </w:r>
      <w:r>
        <w:t>The technical interface</w:t>
      </w:r>
      <w:r>
        <w:tab/>
      </w:r>
      <w:r>
        <w:fldChar w:fldCharType="begin"/>
      </w:r>
      <w:r>
        <w:instrText xml:space="preserve"> PAGEREF _Toc477959368 \h </w:instrText>
      </w:r>
      <w:r>
        <w:fldChar w:fldCharType="separate"/>
      </w:r>
      <w:r>
        <w:t>6</w:t>
      </w:r>
      <w:r>
        <w:fldChar w:fldCharType="end"/>
      </w:r>
    </w:p>
    <w:p w:rsidR="00B67A4C" w:rsidRDefault="00B67A4C">
      <w:pPr>
        <w:pStyle w:val="TOC2"/>
        <w:rPr>
          <w:rFonts w:eastAsiaTheme="minorEastAsia"/>
          <w:color w:val="auto"/>
          <w:lang w:eastAsia="en-GB"/>
        </w:rPr>
      </w:pPr>
      <w:r>
        <w:t>2.2</w:t>
      </w:r>
      <w:r>
        <w:rPr>
          <w:rFonts w:eastAsiaTheme="minorEastAsia"/>
          <w:color w:val="auto"/>
          <w:lang w:eastAsia="en-GB"/>
        </w:rPr>
        <w:tab/>
      </w:r>
      <w:r>
        <w:t>Defining the Technical Interface</w:t>
      </w:r>
      <w:r>
        <w:tab/>
      </w:r>
      <w:r>
        <w:fldChar w:fldCharType="begin"/>
      </w:r>
      <w:r>
        <w:instrText xml:space="preserve"> PAGEREF _Toc477959369 \h </w:instrText>
      </w:r>
      <w:r>
        <w:fldChar w:fldCharType="separate"/>
      </w:r>
      <w:r>
        <w:t>6</w:t>
      </w:r>
      <w:r>
        <w:fldChar w:fldCharType="end"/>
      </w:r>
    </w:p>
    <w:p w:rsidR="00B67A4C" w:rsidRDefault="00B67A4C">
      <w:pPr>
        <w:pStyle w:val="TOC2"/>
        <w:rPr>
          <w:rFonts w:eastAsiaTheme="minorEastAsia"/>
          <w:color w:val="auto"/>
          <w:lang w:eastAsia="en-GB"/>
        </w:rPr>
      </w:pPr>
      <w:r>
        <w:t>2.3</w:t>
      </w:r>
      <w:r>
        <w:rPr>
          <w:rFonts w:eastAsiaTheme="minorEastAsia"/>
          <w:color w:val="auto"/>
          <w:lang w:eastAsia="en-GB"/>
        </w:rPr>
        <w:tab/>
      </w:r>
      <w:r>
        <w:t>Historical Data</w:t>
      </w:r>
      <w:r>
        <w:tab/>
      </w:r>
      <w:r>
        <w:fldChar w:fldCharType="begin"/>
      </w:r>
      <w:r>
        <w:instrText xml:space="preserve"> PAGEREF _Toc477959370 \h </w:instrText>
      </w:r>
      <w:r>
        <w:fldChar w:fldCharType="separate"/>
      </w:r>
      <w:r>
        <w:t>7</w:t>
      </w:r>
      <w:r>
        <w:fldChar w:fldCharType="end"/>
      </w:r>
    </w:p>
    <w:p w:rsidR="00B67A4C" w:rsidRDefault="00B67A4C">
      <w:pPr>
        <w:pStyle w:val="TOC1"/>
        <w:rPr>
          <w:rFonts w:eastAsiaTheme="minorEastAsia"/>
          <w:b w:val="0"/>
          <w:color w:val="auto"/>
          <w:lang w:eastAsia="en-GB"/>
        </w:rPr>
      </w:pPr>
      <w:r>
        <w:t>3</w:t>
      </w:r>
      <w:r>
        <w:rPr>
          <w:rFonts w:eastAsiaTheme="minorEastAsia"/>
          <w:b w:val="0"/>
          <w:color w:val="auto"/>
          <w:lang w:eastAsia="en-GB"/>
        </w:rPr>
        <w:tab/>
      </w:r>
      <w:r>
        <w:t>TECHNICAL ASPECTS OF INTERACTION WITH ALLIED OR OTHER SERVICES</w:t>
      </w:r>
      <w:r>
        <w:tab/>
      </w:r>
      <w:r>
        <w:fldChar w:fldCharType="begin"/>
      </w:r>
      <w:r>
        <w:instrText xml:space="preserve"> PAGEREF _Toc477959371 \h </w:instrText>
      </w:r>
      <w:r>
        <w:fldChar w:fldCharType="separate"/>
      </w:r>
      <w:r>
        <w:t>8</w:t>
      </w:r>
      <w:r>
        <w:fldChar w:fldCharType="end"/>
      </w:r>
    </w:p>
    <w:p w:rsidR="00B67A4C" w:rsidRDefault="00B67A4C">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_Toc477959372 \h </w:instrText>
      </w:r>
      <w:r>
        <w:fldChar w:fldCharType="separate"/>
      </w:r>
      <w:r>
        <w:t>8</w:t>
      </w:r>
      <w:r>
        <w:fldChar w:fldCharType="end"/>
      </w:r>
    </w:p>
    <w:p w:rsidR="00B67A4C" w:rsidRDefault="00B67A4C">
      <w:pPr>
        <w:pStyle w:val="TOC2"/>
        <w:rPr>
          <w:rFonts w:eastAsiaTheme="minorEastAsia"/>
          <w:color w:val="auto"/>
          <w:lang w:eastAsia="en-GB"/>
        </w:rPr>
      </w:pPr>
      <w:r>
        <w:t>3.2</w:t>
      </w:r>
      <w:r>
        <w:rPr>
          <w:rFonts w:eastAsiaTheme="minorEastAsia"/>
          <w:color w:val="auto"/>
          <w:lang w:eastAsia="en-GB"/>
        </w:rPr>
        <w:tab/>
      </w:r>
      <w:r>
        <w:t>Data Format</w:t>
      </w:r>
      <w:r>
        <w:tab/>
      </w:r>
      <w:r>
        <w:fldChar w:fldCharType="begin"/>
      </w:r>
      <w:r>
        <w:instrText xml:space="preserve"> PAGEREF _Toc477959373 \h </w:instrText>
      </w:r>
      <w:r>
        <w:fldChar w:fldCharType="separate"/>
      </w:r>
      <w:r>
        <w:t>8</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Communication Channel Characteristics</w:t>
      </w:r>
      <w:r>
        <w:rPr>
          <w:noProof/>
        </w:rPr>
        <w:tab/>
      </w:r>
      <w:r>
        <w:rPr>
          <w:noProof/>
        </w:rPr>
        <w:fldChar w:fldCharType="begin"/>
      </w:r>
      <w:r>
        <w:rPr>
          <w:noProof/>
        </w:rPr>
        <w:instrText xml:space="preserve"> PAGEREF _Toc477959374 \h </w:instrText>
      </w:r>
      <w:r>
        <w:rPr>
          <w:noProof/>
        </w:rPr>
      </w:r>
      <w:r>
        <w:rPr>
          <w:noProof/>
        </w:rPr>
        <w:fldChar w:fldCharType="separate"/>
      </w:r>
      <w:r>
        <w:rPr>
          <w:noProof/>
        </w:rPr>
        <w:t>8</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_Toc477959375 \h </w:instrText>
      </w:r>
      <w:r>
        <w:rPr>
          <w:noProof/>
        </w:rPr>
      </w:r>
      <w:r>
        <w:rPr>
          <w:noProof/>
        </w:rPr>
        <w:fldChar w:fldCharType="separate"/>
      </w:r>
      <w:r>
        <w:rPr>
          <w:noProof/>
        </w:rPr>
        <w:t>8</w:t>
      </w:r>
      <w:r>
        <w:rPr>
          <w:noProof/>
        </w:rPr>
        <w:fldChar w:fldCharType="end"/>
      </w:r>
    </w:p>
    <w:p w:rsidR="00B67A4C" w:rsidRDefault="00B67A4C">
      <w:pPr>
        <w:pStyle w:val="TOC2"/>
        <w:rPr>
          <w:rFonts w:eastAsiaTheme="minorEastAsia"/>
          <w:color w:val="auto"/>
          <w:lang w:eastAsia="en-GB"/>
        </w:rPr>
      </w:pPr>
      <w:r>
        <w:t>3.3</w:t>
      </w:r>
      <w:r>
        <w:rPr>
          <w:rFonts w:eastAsiaTheme="minorEastAsia"/>
          <w:color w:val="auto"/>
          <w:lang w:eastAsia="en-GB"/>
        </w:rPr>
        <w:tab/>
      </w:r>
      <w:r>
        <w:t>Timing</w:t>
      </w:r>
      <w:r>
        <w:tab/>
      </w:r>
      <w:r>
        <w:fldChar w:fldCharType="begin"/>
      </w:r>
      <w:r>
        <w:instrText xml:space="preserve"> PAGEREF _Toc477959376 \h </w:instrText>
      </w:r>
      <w:r>
        <w:fldChar w:fldCharType="separate"/>
      </w:r>
      <w:r>
        <w:t>8</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Messaging Pattern</w:t>
      </w:r>
      <w:r>
        <w:rPr>
          <w:noProof/>
        </w:rPr>
        <w:tab/>
      </w:r>
      <w:r>
        <w:rPr>
          <w:noProof/>
        </w:rPr>
        <w:fldChar w:fldCharType="begin"/>
      </w:r>
      <w:r>
        <w:rPr>
          <w:noProof/>
        </w:rPr>
        <w:instrText xml:space="preserve"> PAGEREF _Toc477959377 \h </w:instrText>
      </w:r>
      <w:r>
        <w:rPr>
          <w:noProof/>
        </w:rPr>
      </w:r>
      <w:r>
        <w:rPr>
          <w:noProof/>
        </w:rPr>
        <w:fldChar w:fldCharType="separate"/>
      </w:r>
      <w:r>
        <w:rPr>
          <w:noProof/>
        </w:rPr>
        <w:t>8</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Time Stamping</w:t>
      </w:r>
      <w:r>
        <w:rPr>
          <w:noProof/>
        </w:rPr>
        <w:tab/>
      </w:r>
      <w:r>
        <w:rPr>
          <w:noProof/>
        </w:rPr>
        <w:fldChar w:fldCharType="begin"/>
      </w:r>
      <w:r>
        <w:rPr>
          <w:noProof/>
        </w:rPr>
        <w:instrText xml:space="preserve"> PAGEREF _Toc477959378 \h </w:instrText>
      </w:r>
      <w:r>
        <w:rPr>
          <w:noProof/>
        </w:rPr>
      </w:r>
      <w:r>
        <w:rPr>
          <w:noProof/>
        </w:rPr>
        <w:fldChar w:fldCharType="separate"/>
      </w:r>
      <w:r>
        <w:rPr>
          <w:noProof/>
        </w:rPr>
        <w:t>9</w:t>
      </w:r>
      <w:r>
        <w:rPr>
          <w:noProof/>
        </w:rPr>
        <w:fldChar w:fldCharType="end"/>
      </w:r>
    </w:p>
    <w:p w:rsidR="00B67A4C" w:rsidRDefault="00B67A4C">
      <w:pPr>
        <w:pStyle w:val="TOC2"/>
        <w:rPr>
          <w:rFonts w:eastAsiaTheme="minorEastAsia"/>
          <w:color w:val="auto"/>
          <w:lang w:eastAsia="en-GB"/>
        </w:rPr>
      </w:pPr>
      <w:r>
        <w:t>3.4</w:t>
      </w:r>
      <w:r>
        <w:rPr>
          <w:rFonts w:eastAsiaTheme="minorEastAsia"/>
          <w:color w:val="auto"/>
          <w:lang w:eastAsia="en-GB"/>
        </w:rPr>
        <w:tab/>
      </w:r>
      <w:r>
        <w:t>Availability and Data Integrity</w:t>
      </w:r>
      <w:r>
        <w:tab/>
      </w:r>
      <w:r>
        <w:fldChar w:fldCharType="begin"/>
      </w:r>
      <w:r>
        <w:instrText xml:space="preserve"> PAGEREF _Toc477959379 \h </w:instrText>
      </w:r>
      <w:r>
        <w:fldChar w:fldCharType="separate"/>
      </w:r>
      <w:r>
        <w:t>9</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Availability of Equipment and Services</w:t>
      </w:r>
      <w:r>
        <w:rPr>
          <w:noProof/>
        </w:rPr>
        <w:tab/>
      </w:r>
      <w:r>
        <w:rPr>
          <w:noProof/>
        </w:rPr>
        <w:fldChar w:fldCharType="begin"/>
      </w:r>
      <w:r>
        <w:rPr>
          <w:noProof/>
        </w:rPr>
        <w:instrText xml:space="preserve"> PAGEREF _Toc477959380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Availability of Data</w:t>
      </w:r>
      <w:r>
        <w:rPr>
          <w:noProof/>
        </w:rPr>
        <w:tab/>
      </w:r>
      <w:r>
        <w:rPr>
          <w:noProof/>
        </w:rPr>
        <w:fldChar w:fldCharType="begin"/>
      </w:r>
      <w:r>
        <w:rPr>
          <w:noProof/>
        </w:rPr>
        <w:instrText xml:space="preserve"> PAGEREF _Toc477959381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3.4.3</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_Toc477959382 \h </w:instrText>
      </w:r>
      <w:r>
        <w:rPr>
          <w:noProof/>
        </w:rPr>
      </w:r>
      <w:r>
        <w:rPr>
          <w:noProof/>
        </w:rPr>
        <w:fldChar w:fldCharType="separate"/>
      </w:r>
      <w:r>
        <w:rPr>
          <w:noProof/>
        </w:rPr>
        <w:t>9</w:t>
      </w:r>
      <w:r>
        <w:rPr>
          <w:noProof/>
        </w:rPr>
        <w:fldChar w:fldCharType="end"/>
      </w:r>
    </w:p>
    <w:p w:rsidR="00B67A4C" w:rsidRDefault="00B67A4C">
      <w:pPr>
        <w:pStyle w:val="TOC2"/>
        <w:rPr>
          <w:rFonts w:eastAsiaTheme="minorEastAsia"/>
          <w:color w:val="auto"/>
          <w:lang w:eastAsia="en-GB"/>
        </w:rPr>
      </w:pPr>
      <w:r>
        <w:t>3.5</w:t>
      </w:r>
      <w:r>
        <w:rPr>
          <w:rFonts w:eastAsiaTheme="minorEastAsia"/>
          <w:color w:val="auto"/>
          <w:lang w:eastAsia="en-GB"/>
        </w:rPr>
        <w:tab/>
      </w:r>
      <w:r>
        <w:t>Security</w:t>
      </w:r>
      <w:r>
        <w:tab/>
      </w:r>
      <w:r>
        <w:fldChar w:fldCharType="begin"/>
      </w:r>
      <w:r>
        <w:instrText xml:space="preserve"> PAGEREF _Toc477959383 \h </w:instrText>
      </w:r>
      <w:r>
        <w:fldChar w:fldCharType="separate"/>
      </w:r>
      <w:r>
        <w:t>9</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3.5.1</w:t>
      </w:r>
      <w:r>
        <w:rPr>
          <w:rFonts w:eastAsiaTheme="minorEastAsia"/>
          <w:noProof/>
          <w:sz w:val="22"/>
          <w:lang w:eastAsia="en-GB"/>
        </w:rPr>
        <w:tab/>
      </w:r>
      <w:r>
        <w:rPr>
          <w:noProof/>
        </w:rPr>
        <w:t>Data Confidentiality</w:t>
      </w:r>
      <w:r>
        <w:rPr>
          <w:noProof/>
        </w:rPr>
        <w:tab/>
      </w:r>
      <w:r>
        <w:rPr>
          <w:noProof/>
        </w:rPr>
        <w:fldChar w:fldCharType="begin"/>
      </w:r>
      <w:r>
        <w:rPr>
          <w:noProof/>
        </w:rPr>
        <w:instrText xml:space="preserve"> PAGEREF _Toc477959384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3.5.2</w:t>
      </w:r>
      <w:r>
        <w:rPr>
          <w:rFonts w:eastAsiaTheme="minorEastAsia"/>
          <w:noProof/>
          <w:sz w:val="22"/>
          <w:lang w:eastAsia="en-GB"/>
        </w:rPr>
        <w:tab/>
      </w:r>
      <w:r>
        <w:rPr>
          <w:noProof/>
        </w:rPr>
        <w:t>Data Accessibility</w:t>
      </w:r>
      <w:r>
        <w:rPr>
          <w:noProof/>
        </w:rPr>
        <w:tab/>
      </w:r>
      <w:r>
        <w:rPr>
          <w:noProof/>
        </w:rPr>
        <w:fldChar w:fldCharType="begin"/>
      </w:r>
      <w:r>
        <w:rPr>
          <w:noProof/>
        </w:rPr>
        <w:instrText xml:space="preserve"> PAGEREF _Toc477959385 \h </w:instrText>
      </w:r>
      <w:r>
        <w:rPr>
          <w:noProof/>
        </w:rPr>
      </w:r>
      <w:r>
        <w:rPr>
          <w:noProof/>
        </w:rPr>
        <w:fldChar w:fldCharType="separate"/>
      </w:r>
      <w:r>
        <w:rPr>
          <w:noProof/>
        </w:rPr>
        <w:t>10</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3.5.3</w:t>
      </w:r>
      <w:r>
        <w:rPr>
          <w:rFonts w:eastAsiaTheme="minorEastAsia"/>
          <w:noProof/>
          <w:sz w:val="22"/>
          <w:lang w:eastAsia="en-GB"/>
        </w:rPr>
        <w:tab/>
      </w:r>
      <w:r>
        <w:rPr>
          <w:noProof/>
        </w:rPr>
        <w:t>Audit Trails</w:t>
      </w:r>
      <w:r>
        <w:rPr>
          <w:noProof/>
        </w:rPr>
        <w:tab/>
      </w:r>
      <w:r>
        <w:rPr>
          <w:noProof/>
        </w:rPr>
        <w:fldChar w:fldCharType="begin"/>
      </w:r>
      <w:r>
        <w:rPr>
          <w:noProof/>
        </w:rPr>
        <w:instrText xml:space="preserve"> PAGEREF _Toc477959386 \h </w:instrText>
      </w:r>
      <w:r>
        <w:rPr>
          <w:noProof/>
        </w:rPr>
      </w:r>
      <w:r>
        <w:rPr>
          <w:noProof/>
        </w:rPr>
        <w:fldChar w:fldCharType="separate"/>
      </w:r>
      <w:r>
        <w:rPr>
          <w:noProof/>
        </w:rPr>
        <w:t>10</w:t>
      </w:r>
      <w:r>
        <w:rPr>
          <w:noProof/>
        </w:rPr>
        <w:fldChar w:fldCharType="end"/>
      </w:r>
    </w:p>
    <w:p w:rsidR="00B67A4C" w:rsidRDefault="00B67A4C">
      <w:pPr>
        <w:pStyle w:val="TOC1"/>
        <w:rPr>
          <w:rFonts w:eastAsiaTheme="minorEastAsia"/>
          <w:b w:val="0"/>
          <w:color w:val="auto"/>
          <w:lang w:eastAsia="en-GB"/>
        </w:rPr>
      </w:pPr>
      <w:r>
        <w:t>4</w:t>
      </w:r>
      <w:r>
        <w:rPr>
          <w:rFonts w:eastAsiaTheme="minorEastAsia"/>
          <w:b w:val="0"/>
          <w:color w:val="auto"/>
          <w:lang w:eastAsia="en-GB"/>
        </w:rPr>
        <w:tab/>
      </w:r>
      <w:r>
        <w:t>ADDITIONAL LEGAL ASPECTS AND CONSTRAINTS</w:t>
      </w:r>
      <w:r>
        <w:tab/>
      </w:r>
      <w:r>
        <w:fldChar w:fldCharType="begin"/>
      </w:r>
      <w:r>
        <w:instrText xml:space="preserve"> PAGEREF _Toc477959387 \h </w:instrText>
      </w:r>
      <w:r>
        <w:fldChar w:fldCharType="separate"/>
      </w:r>
      <w:r>
        <w:t>11</w:t>
      </w:r>
      <w:r>
        <w:fldChar w:fldCharType="end"/>
      </w:r>
    </w:p>
    <w:p w:rsidR="00B67A4C" w:rsidRDefault="00B67A4C">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_Toc477959388 \h </w:instrText>
      </w:r>
      <w:r>
        <w:fldChar w:fldCharType="separate"/>
      </w:r>
      <w:r>
        <w:t>11</w:t>
      </w:r>
      <w:r>
        <w:fldChar w:fldCharType="end"/>
      </w:r>
    </w:p>
    <w:p w:rsidR="00B67A4C" w:rsidRDefault="00B67A4C">
      <w:pPr>
        <w:pStyle w:val="TOC1"/>
        <w:rPr>
          <w:rFonts w:eastAsiaTheme="minorEastAsia"/>
          <w:b w:val="0"/>
          <w:color w:val="auto"/>
          <w:lang w:eastAsia="en-GB"/>
        </w:rPr>
      </w:pPr>
      <w:r>
        <w:t>6</w:t>
      </w:r>
      <w:r>
        <w:rPr>
          <w:rFonts w:eastAsiaTheme="minorEastAsia"/>
          <w:b w:val="0"/>
          <w:color w:val="auto"/>
          <w:lang w:eastAsia="en-GB"/>
        </w:rPr>
        <w:tab/>
      </w:r>
      <w:r>
        <w:t>ACRONYMS</w:t>
      </w:r>
      <w:r>
        <w:tab/>
      </w:r>
      <w:r>
        <w:fldChar w:fldCharType="begin"/>
      </w:r>
      <w:r>
        <w:instrText xml:space="preserve"> PAGEREF _Toc477959389 \h </w:instrText>
      </w:r>
      <w:r>
        <w:fldChar w:fldCharType="separate"/>
      </w:r>
      <w:r>
        <w:t>11</w:t>
      </w:r>
      <w:r>
        <w:fldChar w:fldCharType="end"/>
      </w:r>
    </w:p>
    <w:p w:rsidR="00B67A4C" w:rsidRDefault="00B67A4C">
      <w:pPr>
        <w:pStyle w:val="TOC1"/>
        <w:rPr>
          <w:rFonts w:eastAsiaTheme="minorEastAsia"/>
          <w:b w:val="0"/>
          <w:color w:val="auto"/>
          <w:lang w:eastAsia="en-GB"/>
        </w:rPr>
      </w:pPr>
      <w:r>
        <w:t>7</w:t>
      </w:r>
      <w:r>
        <w:rPr>
          <w:rFonts w:eastAsiaTheme="minorEastAsia"/>
          <w:b w:val="0"/>
          <w:color w:val="auto"/>
          <w:lang w:eastAsia="en-GB"/>
        </w:rPr>
        <w:tab/>
      </w:r>
      <w:r>
        <w:t>REFERENCES</w:t>
      </w:r>
      <w:r>
        <w:tab/>
      </w:r>
      <w:r>
        <w:fldChar w:fldCharType="begin"/>
      </w:r>
      <w:r>
        <w:instrText xml:space="preserve"> PAGEREF _Toc477959390 \h </w:instrText>
      </w:r>
      <w:r>
        <w:fldChar w:fldCharType="separate"/>
      </w:r>
      <w:r>
        <w:t>11</w:t>
      </w:r>
      <w:r>
        <w:fldChar w:fldCharType="end"/>
      </w:r>
    </w:p>
    <w:p w:rsidR="00642025" w:rsidRPr="0093492E" w:rsidRDefault="004A4EC4" w:rsidP="00BA5754">
      <w:pPr>
        <w:rPr>
          <w:noProof/>
        </w:rPr>
      </w:pPr>
      <w:r>
        <w:rPr>
          <w:noProof/>
        </w:rPr>
        <w:fldChar w:fldCharType="end"/>
      </w:r>
    </w:p>
    <w:p w:rsidR="0078486B" w:rsidRDefault="002F265A" w:rsidP="00C9558A">
      <w:pPr>
        <w:pStyle w:val="ListofFigures"/>
      </w:pPr>
      <w:r>
        <w:t>List of Tables</w:t>
      </w:r>
    </w:p>
    <w:p w:rsidR="00187E64"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187E64">
        <w:rPr>
          <w:noProof/>
        </w:rPr>
        <w:t>Table 1</w:t>
      </w:r>
      <w:r w:rsidR="00187E64">
        <w:rPr>
          <w:rFonts w:eastAsiaTheme="minorEastAsia"/>
          <w:i w:val="0"/>
          <w:noProof/>
          <w:lang w:eastAsia="en-GB"/>
        </w:rPr>
        <w:tab/>
      </w:r>
      <w:r w:rsidR="00187E64">
        <w:rPr>
          <w:noProof/>
        </w:rPr>
        <w:t>Types of Data Exchange</w:t>
      </w:r>
      <w:r w:rsidR="00187E64">
        <w:rPr>
          <w:noProof/>
        </w:rPr>
        <w:tab/>
      </w:r>
      <w:r w:rsidR="00187E64">
        <w:rPr>
          <w:noProof/>
        </w:rPr>
        <w:fldChar w:fldCharType="begin"/>
      </w:r>
      <w:r w:rsidR="00187E64">
        <w:rPr>
          <w:noProof/>
        </w:rPr>
        <w:instrText xml:space="preserve"> PAGEREF _Toc477954248 \h </w:instrText>
      </w:r>
      <w:r w:rsidR="00187E64">
        <w:rPr>
          <w:noProof/>
        </w:rPr>
      </w:r>
      <w:r w:rsidR="00187E64">
        <w:rPr>
          <w:noProof/>
        </w:rPr>
        <w:fldChar w:fldCharType="separate"/>
      </w:r>
      <w:r w:rsidR="00187E64">
        <w:rPr>
          <w:noProof/>
        </w:rPr>
        <w:t>12</w:t>
      </w:r>
      <w:r w:rsidR="00187E64">
        <w:rPr>
          <w:noProof/>
        </w:rPr>
        <w:fldChar w:fldCharType="end"/>
      </w:r>
    </w:p>
    <w:p w:rsidR="00187E64" w:rsidRDefault="00187E64">
      <w:pPr>
        <w:pStyle w:val="TableofFigures"/>
        <w:rPr>
          <w:rFonts w:eastAsiaTheme="minorEastAsia"/>
          <w:i w:val="0"/>
          <w:noProof/>
          <w:lang w:eastAsia="en-GB"/>
        </w:rPr>
      </w:pPr>
      <w:r>
        <w:rPr>
          <w:noProof/>
        </w:rPr>
        <w:t>Table 2</w:t>
      </w:r>
      <w:r>
        <w:rPr>
          <w:rFonts w:eastAsiaTheme="minorEastAsia"/>
          <w:i w:val="0"/>
          <w:noProof/>
          <w:lang w:eastAsia="en-GB"/>
        </w:rPr>
        <w:tab/>
      </w:r>
      <w:r>
        <w:rPr>
          <w:noProof/>
        </w:rPr>
        <w:t>Characteristics of the data exchange</w:t>
      </w:r>
      <w:r>
        <w:rPr>
          <w:noProof/>
        </w:rPr>
        <w:tab/>
      </w:r>
      <w:r>
        <w:rPr>
          <w:noProof/>
        </w:rPr>
        <w:fldChar w:fldCharType="begin"/>
      </w:r>
      <w:r>
        <w:rPr>
          <w:noProof/>
        </w:rPr>
        <w:instrText xml:space="preserve"> PAGEREF _Toc477954249 \h </w:instrText>
      </w:r>
      <w:r>
        <w:rPr>
          <w:noProof/>
        </w:rPr>
      </w:r>
      <w:r>
        <w:rPr>
          <w:noProof/>
        </w:rPr>
        <w:fldChar w:fldCharType="separate"/>
      </w:r>
      <w:r>
        <w:rPr>
          <w:noProof/>
        </w:rPr>
        <w:t>13</w:t>
      </w:r>
      <w:r>
        <w:rPr>
          <w:noProof/>
        </w:rPr>
        <w:fldChar w:fldCharType="end"/>
      </w:r>
    </w:p>
    <w:p w:rsidR="00161325" w:rsidRPr="00C91630" w:rsidRDefault="00923B4D" w:rsidP="00BA5754">
      <w:r>
        <w:fldChar w:fldCharType="end"/>
      </w:r>
    </w:p>
    <w:p w:rsidR="00994D97" w:rsidRDefault="00994D97" w:rsidP="00C9558A">
      <w:pPr>
        <w:pStyle w:val="ListofFigures"/>
      </w:pPr>
      <w:commentRangeStart w:id="3"/>
      <w:r w:rsidRPr="00441393">
        <w:t>List of Figures</w:t>
      </w:r>
      <w:commentRangeEnd w:id="3"/>
      <w:r w:rsidR="00BA5C4A">
        <w:rPr>
          <w:rStyle w:val="CommentReference"/>
          <w:b w:val="0"/>
          <w:color w:val="auto"/>
        </w:rPr>
        <w:commentReference w:id="3"/>
      </w:r>
    </w:p>
    <w:p w:rsidR="00B07717" w:rsidRPr="00A84602" w:rsidRDefault="00923B4D" w:rsidP="00A84602">
      <w:r>
        <w:fldChar w:fldCharType="begin"/>
      </w:r>
      <w:r>
        <w:instrText xml:space="preserve"> TOC \t "Figure caption" \c </w:instrText>
      </w:r>
      <w:r>
        <w:fldChar w:fldCharType="separate"/>
      </w:r>
      <w:r w:rsidR="00187E64">
        <w:rPr>
          <w:b/>
          <w:bCs/>
          <w:noProof/>
          <w:lang w:val="en-US"/>
        </w:rPr>
        <w:t>No table of figures entries found.</w:t>
      </w:r>
      <w:r>
        <w:fldChar w:fldCharType="end"/>
      </w:r>
    </w:p>
    <w:p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rsidR="004944C8" w:rsidRDefault="00ED4450" w:rsidP="00DE2814">
      <w:pPr>
        <w:pStyle w:val="Heading1"/>
      </w:pPr>
      <w:bookmarkStart w:id="4" w:name="_Toc477959364"/>
      <w:r>
        <w:lastRenderedPageBreak/>
        <w:t>INTRODUCTION</w:t>
      </w:r>
      <w:bookmarkEnd w:id="4"/>
    </w:p>
    <w:p w:rsidR="004944C8" w:rsidRDefault="004944C8" w:rsidP="004944C8">
      <w:pPr>
        <w:pStyle w:val="Heading1separatationline"/>
      </w:pPr>
    </w:p>
    <w:p w:rsidR="001E165A" w:rsidRDefault="001E165A" w:rsidP="001E165A">
      <w:pPr>
        <w:pStyle w:val="Heading2"/>
      </w:pPr>
      <w:bookmarkStart w:id="5" w:name="_Toc477959365"/>
      <w:r>
        <w:t>Preamble</w:t>
      </w:r>
      <w:bookmarkEnd w:id="5"/>
    </w:p>
    <w:p w:rsidR="001E165A" w:rsidRPr="001E165A" w:rsidRDefault="001E165A" w:rsidP="001E165A">
      <w:pPr>
        <w:pStyle w:val="Heading2separationline"/>
      </w:pPr>
    </w:p>
    <w:p w:rsidR="005F0EAB" w:rsidRDefault="001E165A" w:rsidP="005F0EAB">
      <w:pPr>
        <w:pStyle w:val="BodyText"/>
      </w:pPr>
      <w:r>
        <w:t>A</w:t>
      </w:r>
      <w:r w:rsidR="005F0EAB">
        <w:t xml:space="preserve">s outlined in IALA Guideline 1102 (reference </w:t>
      </w:r>
      <w:r w:rsidR="005F0EAB">
        <w:fldChar w:fldCharType="begin"/>
      </w:r>
      <w:r w:rsidR="005F0EAB">
        <w:instrText xml:space="preserve"> REF _Ref477962618 \r \h </w:instrText>
      </w:r>
      <w:r w:rsidR="005F0EAB">
        <w:fldChar w:fldCharType="separate"/>
      </w:r>
      <w:r w:rsidR="005F0EAB">
        <w:t>[9]</w:t>
      </w:r>
      <w:r w:rsidR="005F0EAB">
        <w:fldChar w:fldCharType="end"/>
      </w:r>
      <w:r w:rsidR="005F0EAB">
        <w:t>), a</w:t>
      </w:r>
      <w:r>
        <w:t xml:space="preserve"> Vessel Traffic Service (VTS) is recognised as a valuable asset to reduce incidents resulting from conflicts in vessel traffic. </w:t>
      </w:r>
      <w:r w:rsidR="005F0EAB">
        <w:t xml:space="preserve"> Also, t</w:t>
      </w:r>
      <w:r>
        <w:t>he role of VTS is well established and its services are well pos</w:t>
      </w:r>
      <w:r w:rsidR="005F0EAB">
        <w:t>itioned in the maritime domain.</w:t>
      </w:r>
    </w:p>
    <w:p w:rsidR="001E165A" w:rsidRPr="0058408F" w:rsidRDefault="005F0EAB" w:rsidP="001E165A">
      <w:pPr>
        <w:pStyle w:val="BodyText"/>
        <w:rPr>
          <w:b/>
        </w:rPr>
      </w:pPr>
      <w:r>
        <w:t>It is recognized that information,</w:t>
      </w:r>
      <w:r w:rsidR="001E165A">
        <w:t xml:space="preserve"> </w:t>
      </w:r>
      <w:r>
        <w:t>collected by a VTS, could be used</w:t>
      </w:r>
      <w:r w:rsidR="001E165A">
        <w:t xml:space="preserve"> to support </w:t>
      </w:r>
      <w:r>
        <w:t xml:space="preserve">allied and </w:t>
      </w:r>
      <w:r w:rsidR="001E165A">
        <w:t>other services</w:t>
      </w:r>
      <w:r>
        <w:t xml:space="preserve"> in order to improve efficiency and to reduce cost. Similarly, information from these parties could be useful for improving the VTS operation</w:t>
      </w:r>
      <w:r w:rsidR="006E26A7">
        <w:t xml:space="preserve"> as well.</w:t>
      </w:r>
    </w:p>
    <w:p w:rsidR="001E165A" w:rsidRPr="0058408F" w:rsidRDefault="001E165A" w:rsidP="001E165A">
      <w:pPr>
        <w:pStyle w:val="Heading2"/>
      </w:pPr>
      <w:bookmarkStart w:id="6" w:name="_Toc477959366"/>
      <w:r w:rsidRPr="0058408F">
        <w:t>Objective</w:t>
      </w:r>
      <w:bookmarkEnd w:id="6"/>
    </w:p>
    <w:p w:rsidR="001E165A" w:rsidRPr="001E165A" w:rsidRDefault="001E165A" w:rsidP="001E165A">
      <w:pPr>
        <w:pStyle w:val="Heading2separationline"/>
      </w:pPr>
    </w:p>
    <w:p w:rsidR="007D158C" w:rsidRDefault="002044CC" w:rsidP="002044CC">
      <w:pPr>
        <w:pStyle w:val="BodyText"/>
        <w:shd w:val="clear" w:color="auto" w:fill="FFFFFF" w:themeFill="background1"/>
      </w:pPr>
      <w:r w:rsidRPr="007D158C">
        <w:t xml:space="preserve">As part of their operation, VTS Authorities compile a real time picture of </w:t>
      </w:r>
      <w:r w:rsidR="00C65924">
        <w:t xml:space="preserve">the </w:t>
      </w:r>
      <w:r w:rsidRPr="007D158C">
        <w:t xml:space="preserve">maritime traffic within the VTS area and </w:t>
      </w:r>
      <w:r w:rsidR="00C65924">
        <w:t xml:space="preserve">may also </w:t>
      </w:r>
      <w:r w:rsidRPr="007D158C">
        <w:t xml:space="preserve">collect additional information pertaining to the traffic flow and the environment.  This information can assist allied </w:t>
      </w:r>
      <w:r w:rsidR="007D158C">
        <w:t>or</w:t>
      </w:r>
      <w:r w:rsidRPr="007D158C">
        <w:t xml:space="preserve"> other services with their own tasks and it is </w:t>
      </w:r>
      <w:r w:rsidR="007D158C">
        <w:t>likely</w:t>
      </w:r>
      <w:r w:rsidRPr="007D158C">
        <w:t xml:space="preserve"> that allied</w:t>
      </w:r>
      <w:r w:rsidR="007D158C">
        <w:t xml:space="preserve"> or</w:t>
      </w:r>
      <w:r w:rsidRPr="007D158C">
        <w:t xml:space="preserve"> </w:t>
      </w:r>
      <w:r w:rsidR="007D158C" w:rsidRPr="007D158C">
        <w:t xml:space="preserve">other </w:t>
      </w:r>
      <w:r w:rsidRPr="007D158C">
        <w:t xml:space="preserve">services </w:t>
      </w:r>
      <w:r w:rsidR="007D158C">
        <w:t xml:space="preserve">may </w:t>
      </w:r>
      <w:r w:rsidRPr="007D158C">
        <w:t>have information th</w:t>
      </w:r>
      <w:r w:rsidR="007D158C">
        <w:t xml:space="preserve">at can assist a VTS Authority. </w:t>
      </w:r>
    </w:p>
    <w:p w:rsidR="007D158C" w:rsidRDefault="002044CC" w:rsidP="002044CC">
      <w:pPr>
        <w:pStyle w:val="BodyText"/>
        <w:shd w:val="clear" w:color="auto" w:fill="FFFFFF" w:themeFill="background1"/>
      </w:pPr>
      <w:r w:rsidRPr="007D158C">
        <w:t xml:space="preserve">There </w:t>
      </w:r>
      <w:r w:rsidR="00C65924">
        <w:t>may be</w:t>
      </w:r>
      <w:r w:rsidRPr="007D158C">
        <w:t xml:space="preserve"> situations where allied </w:t>
      </w:r>
      <w:r w:rsidR="007D158C">
        <w:t xml:space="preserve">and other </w:t>
      </w:r>
      <w:r w:rsidRPr="007D158C">
        <w:t>services collect the same data</w:t>
      </w:r>
      <w:r w:rsidR="007D158C">
        <w:t xml:space="preserve"> as the VTS Authority, but</w:t>
      </w:r>
      <w:r w:rsidRPr="007D158C">
        <w:t xml:space="preserve"> through independent means.  By establishing </w:t>
      </w:r>
      <w:r w:rsidR="007D158C">
        <w:t>mutual agreements on the exchange</w:t>
      </w:r>
      <w:r w:rsidRPr="007D158C">
        <w:t xml:space="preserve"> </w:t>
      </w:r>
      <w:r w:rsidR="007D158C">
        <w:t xml:space="preserve">of </w:t>
      </w:r>
      <w:r w:rsidRPr="007D158C">
        <w:t>information</w:t>
      </w:r>
      <w:proofErr w:type="gramStart"/>
      <w:r w:rsidR="00C65924">
        <w:t xml:space="preserve">, </w:t>
      </w:r>
      <w:r w:rsidR="00C65924" w:rsidRPr="00C65924">
        <w:t xml:space="preserve"> </w:t>
      </w:r>
      <w:r w:rsidR="00C65924">
        <w:t>information</w:t>
      </w:r>
      <w:proofErr w:type="gramEnd"/>
      <w:r w:rsidR="00C65924">
        <w:t xml:space="preserve"> only needs to be collected once. This</w:t>
      </w:r>
    </w:p>
    <w:p w:rsidR="00C65924" w:rsidRDefault="007D158C" w:rsidP="007D158C">
      <w:pPr>
        <w:pStyle w:val="BodyText"/>
        <w:numPr>
          <w:ilvl w:val="0"/>
          <w:numId w:val="37"/>
        </w:numPr>
        <w:shd w:val="clear" w:color="auto" w:fill="FFFFFF" w:themeFill="background1"/>
      </w:pPr>
      <w:r>
        <w:t>increase</w:t>
      </w:r>
      <w:r w:rsidR="00C65924">
        <w:t>s</w:t>
      </w:r>
      <w:r>
        <w:t xml:space="preserve"> the consistency</w:t>
      </w:r>
      <w:r w:rsidR="00C65924">
        <w:t xml:space="preserve"> and reliability of the information;</w:t>
      </w:r>
    </w:p>
    <w:p w:rsidR="002044CC" w:rsidRDefault="002044CC" w:rsidP="007D158C">
      <w:pPr>
        <w:pStyle w:val="BodyText"/>
        <w:numPr>
          <w:ilvl w:val="0"/>
          <w:numId w:val="37"/>
        </w:numPr>
        <w:shd w:val="clear" w:color="auto" w:fill="FFFFFF" w:themeFill="background1"/>
      </w:pPr>
      <w:r w:rsidRPr="007D158C">
        <w:t>i</w:t>
      </w:r>
      <w:r w:rsidR="00C65924">
        <w:t>mprov</w:t>
      </w:r>
      <w:r w:rsidRPr="007D158C">
        <w:t>e</w:t>
      </w:r>
      <w:r w:rsidR="00C65924">
        <w:t>s the</w:t>
      </w:r>
      <w:r w:rsidRPr="007D158C">
        <w:t xml:space="preserve"> </w:t>
      </w:r>
      <w:r w:rsidR="00C65924">
        <w:t>efficiency of all parties involved;</w:t>
      </w:r>
    </w:p>
    <w:p w:rsidR="00C65924" w:rsidRDefault="00C65924" w:rsidP="007D158C">
      <w:pPr>
        <w:pStyle w:val="BodyText"/>
        <w:numPr>
          <w:ilvl w:val="0"/>
          <w:numId w:val="37"/>
        </w:numPr>
        <w:shd w:val="clear" w:color="auto" w:fill="FFFFFF" w:themeFill="background1"/>
      </w:pPr>
      <w:proofErr w:type="gramStart"/>
      <w:r>
        <w:t>may</w:t>
      </w:r>
      <w:proofErr w:type="gramEnd"/>
      <w:r>
        <w:t xml:space="preserve"> lead to considerable </w:t>
      </w:r>
      <w:r w:rsidRPr="007D158C">
        <w:t xml:space="preserve">costs </w:t>
      </w:r>
      <w:r>
        <w:t>savings.</w:t>
      </w:r>
    </w:p>
    <w:p w:rsidR="001E165A" w:rsidRDefault="001E165A" w:rsidP="001E165A">
      <w:pPr>
        <w:pStyle w:val="BodyText"/>
      </w:pPr>
      <w:r>
        <w:t>This Guideline describes</w:t>
      </w:r>
      <w:r w:rsidR="0046334B">
        <w:t>, from a</w:t>
      </w:r>
      <w:r>
        <w:t xml:space="preserve"> </w:t>
      </w:r>
      <w:r w:rsidR="0046334B">
        <w:t>technical</w:t>
      </w:r>
      <w:r>
        <w:t xml:space="preserve"> </w:t>
      </w:r>
      <w:r w:rsidR="0046334B">
        <w:t xml:space="preserve">point of view, the </w:t>
      </w:r>
      <w:r>
        <w:t xml:space="preserve">issues to be considered and the principles to be </w:t>
      </w:r>
      <w:r w:rsidR="0046334B">
        <w:t>appli</w:t>
      </w:r>
      <w:r>
        <w:t>ed for interaction between VTS and allied or other services.</w:t>
      </w:r>
    </w:p>
    <w:p w:rsidR="001E165A" w:rsidRDefault="00912674" w:rsidP="00476ADF">
      <w:pPr>
        <w:pStyle w:val="Heading1"/>
        <w:pageBreakBefore/>
        <w:ind w:left="431" w:hanging="431"/>
      </w:pPr>
      <w:bookmarkStart w:id="7" w:name="_Toc477959367"/>
      <w:r>
        <w:lastRenderedPageBreak/>
        <w:t>INFORMATION</w:t>
      </w:r>
      <w:r w:rsidR="001E165A">
        <w:t xml:space="preserve"> EXCHANGE BETWEEN VTS </w:t>
      </w:r>
      <w:r w:rsidR="0058408F">
        <w:t>AND ALLIED OR OTHER SERVICES</w:t>
      </w:r>
      <w:bookmarkEnd w:id="7"/>
    </w:p>
    <w:p w:rsidR="001E165A" w:rsidRPr="001E165A" w:rsidRDefault="001E165A" w:rsidP="001E165A">
      <w:pPr>
        <w:pStyle w:val="Heading1separatationline"/>
      </w:pPr>
    </w:p>
    <w:p w:rsidR="00D54C18" w:rsidRDefault="001E213F" w:rsidP="00D54C18">
      <w:pPr>
        <w:pStyle w:val="Heading2"/>
      </w:pPr>
      <w:bookmarkStart w:id="8" w:name="_Toc477959368"/>
      <w:r>
        <w:t>The technical interface</w:t>
      </w:r>
      <w:bookmarkEnd w:id="8"/>
    </w:p>
    <w:p w:rsidR="00D54C18" w:rsidRPr="00D54C18" w:rsidRDefault="00D54C18" w:rsidP="00D54C18">
      <w:pPr>
        <w:pStyle w:val="Heading2separationline"/>
      </w:pPr>
    </w:p>
    <w:p w:rsidR="0061103B" w:rsidRDefault="0061103B" w:rsidP="0061103B">
      <w:pPr>
        <w:pStyle w:val="List1"/>
        <w:numPr>
          <w:ilvl w:val="0"/>
          <w:numId w:val="0"/>
        </w:numPr>
      </w:pPr>
      <w:r w:rsidRPr="0061103B">
        <w:t>Guideline</w:t>
      </w:r>
      <w:r>
        <w:t xml:space="preserve"> 1102 contains an overview of allied and other services that may want to exchange information with a VTS. It also provides guidance on setting up an agreement to cover the operational and legal aspects of the information exchange.</w:t>
      </w:r>
      <w:r w:rsidR="00FF2384">
        <w:t xml:space="preserve"> </w:t>
      </w:r>
      <w:r w:rsidR="00417558">
        <w:t xml:space="preserve">This will, in general, include a service level agreement which will have an impact on the technical realisation. </w:t>
      </w:r>
      <w:r w:rsidR="00FF2384">
        <w:t xml:space="preserve">Additionally, an agreement should be made on the </w:t>
      </w:r>
      <w:r w:rsidR="00865E49">
        <w:t xml:space="preserve">specific </w:t>
      </w:r>
      <w:r w:rsidR="00FF2384">
        <w:t>technical aspects of the information exchange.</w:t>
      </w:r>
    </w:p>
    <w:p w:rsidR="0061103B" w:rsidRDefault="0061103B" w:rsidP="0061103B">
      <w:pPr>
        <w:pStyle w:val="List1"/>
        <w:numPr>
          <w:ilvl w:val="0"/>
          <w:numId w:val="0"/>
        </w:numPr>
      </w:pPr>
      <w:r>
        <w:t xml:space="preserve">The technical </w:t>
      </w:r>
      <w:r w:rsidR="00FF2384">
        <w:t xml:space="preserve">aspects of information exchange </w:t>
      </w:r>
      <w:r w:rsidR="00A815CF">
        <w:t xml:space="preserve">should be </w:t>
      </w:r>
      <w:proofErr w:type="gramStart"/>
      <w:r w:rsidR="00A815CF">
        <w:t>consolidated  in</w:t>
      </w:r>
      <w:proofErr w:type="gramEnd"/>
      <w:r w:rsidR="00A815CF">
        <w:t xml:space="preserve"> an </w:t>
      </w:r>
      <w:r w:rsidR="006A40AF">
        <w:t xml:space="preserve">technical </w:t>
      </w:r>
      <w:r w:rsidR="00A815CF">
        <w:t xml:space="preserve">interface description. Where possible, applicable standards, such as S-100, should be considered and used. The technical interface </w:t>
      </w:r>
      <w:proofErr w:type="gramStart"/>
      <w:r w:rsidR="00A815CF">
        <w:t xml:space="preserve">is </w:t>
      </w:r>
      <w:r w:rsidR="00FF2384">
        <w:t xml:space="preserve"> mostly</w:t>
      </w:r>
      <w:proofErr w:type="gramEnd"/>
      <w:r>
        <w:t xml:space="preserve"> determined by the type and </w:t>
      </w:r>
      <w:r w:rsidR="00FF2384">
        <w:t>timing aspects</w:t>
      </w:r>
      <w:r w:rsidRPr="0061103B">
        <w:t xml:space="preserve"> </w:t>
      </w:r>
      <w:r>
        <w:t>of the information. So it is possible that the same technical interface applies to</w:t>
      </w:r>
      <w:r w:rsidR="007677F0">
        <w:t xml:space="preserve"> information exchange with</w:t>
      </w:r>
      <w:r>
        <w:t xml:space="preserve"> different allied or other services</w:t>
      </w:r>
      <w:r w:rsidR="00A815CF">
        <w:t>.</w:t>
      </w:r>
    </w:p>
    <w:p w:rsidR="0061103B" w:rsidRDefault="007677F0" w:rsidP="007677F0">
      <w:pPr>
        <w:pStyle w:val="List1"/>
        <w:numPr>
          <w:ilvl w:val="0"/>
          <w:numId w:val="0"/>
        </w:numPr>
      </w:pPr>
      <w:r>
        <w:t>As far as VTS information is concerned, the following t</w:t>
      </w:r>
      <w:r w:rsidR="0061103B">
        <w:t>ype</w:t>
      </w:r>
      <w:r w:rsidR="00F36BAB">
        <w:t>s</w:t>
      </w:r>
      <w:r w:rsidR="0061103B">
        <w:t xml:space="preserve"> of data</w:t>
      </w:r>
      <w:r w:rsidR="00F36BAB">
        <w:t xml:space="preserve"> could be</w:t>
      </w:r>
      <w:r w:rsidR="0061103B">
        <w:t xml:space="preserve"> exchanged:</w:t>
      </w:r>
    </w:p>
    <w:p w:rsidR="00F36BAB" w:rsidRPr="0097088A" w:rsidRDefault="00F36BAB" w:rsidP="00F36BAB">
      <w:pPr>
        <w:pStyle w:val="List1"/>
      </w:pPr>
      <w:r w:rsidRPr="0097088A">
        <w:t>Voyage Data</w:t>
      </w:r>
      <w:r w:rsidR="0097088A">
        <w:t>, containing</w:t>
      </w:r>
      <w:r w:rsidRPr="0097088A">
        <w:t xml:space="preserve"> information on past, present and future voyages of vessels</w:t>
      </w:r>
      <w:r w:rsidR="0097088A">
        <w:t xml:space="preserve"> and their cargo</w:t>
      </w:r>
    </w:p>
    <w:p w:rsidR="00F36BAB" w:rsidRPr="0097088A" w:rsidRDefault="00F36BAB" w:rsidP="00F36BAB">
      <w:pPr>
        <w:pStyle w:val="List1"/>
      </w:pPr>
      <w:r w:rsidRPr="0097088A">
        <w:t xml:space="preserve">Traffic Image, </w:t>
      </w:r>
      <w:r w:rsidR="0097088A">
        <w:t>containing</w:t>
      </w:r>
      <w:r w:rsidRPr="0097088A">
        <w:t xml:space="preserve"> information on the position</w:t>
      </w:r>
      <w:r w:rsidR="0097088A" w:rsidRPr="0097088A">
        <w:t>, speed</w:t>
      </w:r>
      <w:r w:rsidRPr="0097088A">
        <w:t xml:space="preserve"> and identity of vessels</w:t>
      </w:r>
    </w:p>
    <w:p w:rsidR="0061103B" w:rsidRPr="0097088A" w:rsidRDefault="0097088A" w:rsidP="00F36BAB">
      <w:pPr>
        <w:pStyle w:val="List1"/>
      </w:pPr>
      <w:r w:rsidRPr="0097088A">
        <w:t>Surveillance Sensor Data, such as radar, AIS and EOS</w:t>
      </w:r>
    </w:p>
    <w:p w:rsidR="0061103B" w:rsidRDefault="0097088A" w:rsidP="00F36BAB">
      <w:pPr>
        <w:pStyle w:val="List1"/>
      </w:pPr>
      <w:r w:rsidRPr="0097088A">
        <w:t>Meteorological and hydrographical information</w:t>
      </w:r>
    </w:p>
    <w:p w:rsidR="006A40AF" w:rsidRPr="0097088A" w:rsidRDefault="006A40AF" w:rsidP="006A40AF">
      <w:pPr>
        <w:pStyle w:val="List1"/>
        <w:numPr>
          <w:ilvl w:val="0"/>
          <w:numId w:val="0"/>
        </w:numPr>
        <w:ind w:left="567" w:hanging="567"/>
      </w:pPr>
    </w:p>
    <w:p w:rsidR="00F36BAB" w:rsidRPr="0097088A" w:rsidRDefault="0097088A" w:rsidP="00F36BAB">
      <w:pPr>
        <w:pStyle w:val="List1"/>
        <w:numPr>
          <w:ilvl w:val="0"/>
          <w:numId w:val="0"/>
        </w:numPr>
        <w:ind w:left="567" w:hanging="567"/>
      </w:pPr>
      <w:r w:rsidRPr="0097088A">
        <w:t xml:space="preserve">Another important factor to consider, when </w:t>
      </w:r>
      <w:r w:rsidR="006A40AF">
        <w:t>defining a technical interface</w:t>
      </w:r>
      <w:r w:rsidRPr="0097088A">
        <w:t>, is timing</w:t>
      </w:r>
    </w:p>
    <w:p w:rsidR="0061103B" w:rsidRDefault="0061103B" w:rsidP="0097088A">
      <w:pPr>
        <w:pStyle w:val="List1"/>
        <w:numPr>
          <w:ilvl w:val="0"/>
          <w:numId w:val="42"/>
        </w:numPr>
      </w:pPr>
      <w:r>
        <w:t>Real-time, i.e. data that changes on a timeframe in the order of seconds.</w:t>
      </w:r>
    </w:p>
    <w:p w:rsidR="0061103B" w:rsidRDefault="0061103B" w:rsidP="0097088A">
      <w:pPr>
        <w:pStyle w:val="List1"/>
      </w:pPr>
      <w:r>
        <w:t>Non real-time, data that changes on a timeframe in the order of minutes or more.</w:t>
      </w:r>
    </w:p>
    <w:p w:rsidR="0061103B" w:rsidRDefault="0061103B" w:rsidP="0097088A">
      <w:pPr>
        <w:pStyle w:val="Lista"/>
      </w:pPr>
      <w:r>
        <w:t>Static/semi-static, pertinent data or data that changes infrequently.</w:t>
      </w:r>
    </w:p>
    <w:p w:rsidR="0061103B" w:rsidRDefault="0061103B" w:rsidP="0097088A">
      <w:pPr>
        <w:pStyle w:val="Lista"/>
      </w:pPr>
      <w:r>
        <w:t>Historical, i.e. recorded data.</w:t>
      </w:r>
    </w:p>
    <w:p w:rsidR="002F42A9" w:rsidRDefault="002F42A9" w:rsidP="002F42A9">
      <w:pPr>
        <w:pStyle w:val="List1"/>
        <w:numPr>
          <w:ilvl w:val="0"/>
          <w:numId w:val="0"/>
        </w:numPr>
        <w:ind w:left="567" w:hanging="567"/>
      </w:pPr>
    </w:p>
    <w:p w:rsidR="00D54C18" w:rsidRDefault="001E213F" w:rsidP="00D54C18">
      <w:pPr>
        <w:pStyle w:val="Heading2"/>
      </w:pPr>
      <w:bookmarkStart w:id="9" w:name="_Toc477959369"/>
      <w:r>
        <w:t>Defining</w:t>
      </w:r>
      <w:r w:rsidR="00336B2C">
        <w:t xml:space="preserve"> the Technical Interface</w:t>
      </w:r>
      <w:bookmarkEnd w:id="9"/>
    </w:p>
    <w:p w:rsidR="00D54C18" w:rsidRPr="00D54C18" w:rsidRDefault="00D54C18" w:rsidP="00D54C18">
      <w:pPr>
        <w:pStyle w:val="Heading2separationline"/>
      </w:pPr>
    </w:p>
    <w:p w:rsidR="001E165A" w:rsidRDefault="001E213F" w:rsidP="001E165A">
      <w:pPr>
        <w:pStyle w:val="BodyText"/>
      </w:pPr>
      <w:r>
        <w:t>At least, the following aspects should considered when defining the technical interface</w:t>
      </w:r>
    </w:p>
    <w:p w:rsidR="006E2BEC" w:rsidRDefault="006E2BEC" w:rsidP="006E2BEC">
      <w:pPr>
        <w:pStyle w:val="BodyText"/>
        <w:numPr>
          <w:ilvl w:val="0"/>
          <w:numId w:val="38"/>
        </w:numPr>
      </w:pPr>
      <w:r>
        <w:t>The data format, i.e. how will the information be represented</w:t>
      </w:r>
    </w:p>
    <w:p w:rsidR="00634318" w:rsidRDefault="00634318" w:rsidP="006E2BEC">
      <w:pPr>
        <w:pStyle w:val="BodyText"/>
        <w:numPr>
          <w:ilvl w:val="1"/>
          <w:numId w:val="38"/>
        </w:numPr>
      </w:pPr>
      <w:r>
        <w:t>Communication channel characteristics</w:t>
      </w:r>
    </w:p>
    <w:p w:rsidR="006E2BEC" w:rsidRDefault="006E2BEC" w:rsidP="006E2BEC">
      <w:pPr>
        <w:pStyle w:val="BodyText"/>
        <w:numPr>
          <w:ilvl w:val="1"/>
          <w:numId w:val="38"/>
        </w:numPr>
      </w:pPr>
      <w:r>
        <w:t>Data model, including semantics</w:t>
      </w:r>
    </w:p>
    <w:p w:rsidR="006E2BEC" w:rsidRDefault="00634318" w:rsidP="006E2BEC">
      <w:pPr>
        <w:pStyle w:val="BodyText"/>
        <w:numPr>
          <w:ilvl w:val="1"/>
          <w:numId w:val="38"/>
        </w:numPr>
      </w:pPr>
      <w:r>
        <w:t>Version control</w:t>
      </w:r>
    </w:p>
    <w:p w:rsidR="006E2BEC" w:rsidRDefault="006E2BEC" w:rsidP="006E2BEC">
      <w:pPr>
        <w:pStyle w:val="BodyText"/>
        <w:numPr>
          <w:ilvl w:val="0"/>
          <w:numId w:val="38"/>
        </w:numPr>
      </w:pPr>
      <w:r>
        <w:t>T</w:t>
      </w:r>
      <w:r w:rsidR="006872E8">
        <w:t>iming of the</w:t>
      </w:r>
      <w:r>
        <w:t xml:space="preserve"> information</w:t>
      </w:r>
      <w:r w:rsidR="006872E8">
        <w:t xml:space="preserve"> exchange</w:t>
      </w:r>
    </w:p>
    <w:p w:rsidR="006872E8" w:rsidRDefault="00634318" w:rsidP="006872E8">
      <w:pPr>
        <w:pStyle w:val="BodyText"/>
        <w:numPr>
          <w:ilvl w:val="1"/>
          <w:numId w:val="38"/>
        </w:numPr>
      </w:pPr>
      <w:r>
        <w:t>Messaging pattern</w:t>
      </w:r>
    </w:p>
    <w:p w:rsidR="006872E8" w:rsidRDefault="00634318" w:rsidP="00634318">
      <w:pPr>
        <w:pStyle w:val="BodyText"/>
        <w:numPr>
          <w:ilvl w:val="1"/>
          <w:numId w:val="38"/>
        </w:numPr>
      </w:pPr>
      <w:r>
        <w:t>Time stamping</w:t>
      </w:r>
    </w:p>
    <w:p w:rsidR="006872E8" w:rsidRDefault="00FC6BCE" w:rsidP="006872E8">
      <w:pPr>
        <w:pStyle w:val="BodyText"/>
        <w:numPr>
          <w:ilvl w:val="0"/>
          <w:numId w:val="38"/>
        </w:numPr>
      </w:pPr>
      <w:r>
        <w:t xml:space="preserve">Availability and </w:t>
      </w:r>
      <w:r w:rsidR="00634318">
        <w:t>data integr</w:t>
      </w:r>
      <w:r w:rsidR="006872E8">
        <w:t>ity</w:t>
      </w:r>
    </w:p>
    <w:p w:rsidR="00634318" w:rsidRDefault="00634318" w:rsidP="006872E8">
      <w:pPr>
        <w:pStyle w:val="BodyText"/>
        <w:numPr>
          <w:ilvl w:val="1"/>
          <w:numId w:val="38"/>
        </w:numPr>
      </w:pPr>
      <w:r>
        <w:t>Availability of equipment and services</w:t>
      </w:r>
    </w:p>
    <w:p w:rsidR="00634318" w:rsidRDefault="00634318" w:rsidP="006872E8">
      <w:pPr>
        <w:pStyle w:val="BodyText"/>
        <w:numPr>
          <w:ilvl w:val="1"/>
          <w:numId w:val="38"/>
        </w:numPr>
      </w:pPr>
      <w:r>
        <w:t>Availability of data</w:t>
      </w:r>
    </w:p>
    <w:p w:rsidR="006872E8" w:rsidRDefault="00634318" w:rsidP="00634318">
      <w:pPr>
        <w:pStyle w:val="BodyText"/>
        <w:numPr>
          <w:ilvl w:val="1"/>
          <w:numId w:val="38"/>
        </w:numPr>
      </w:pPr>
      <w:r>
        <w:t>Data i</w:t>
      </w:r>
      <w:r w:rsidR="006872E8">
        <w:t>ntegrity</w:t>
      </w:r>
    </w:p>
    <w:p w:rsidR="006872E8" w:rsidRDefault="006872E8" w:rsidP="006872E8">
      <w:pPr>
        <w:pStyle w:val="BodyText"/>
        <w:numPr>
          <w:ilvl w:val="0"/>
          <w:numId w:val="38"/>
        </w:numPr>
      </w:pPr>
      <w:r>
        <w:lastRenderedPageBreak/>
        <w:t>Security of the information</w:t>
      </w:r>
    </w:p>
    <w:p w:rsidR="006872E8" w:rsidRDefault="00634318" w:rsidP="006872E8">
      <w:pPr>
        <w:pStyle w:val="BodyText"/>
        <w:numPr>
          <w:ilvl w:val="1"/>
          <w:numId w:val="38"/>
        </w:numPr>
      </w:pPr>
      <w:r>
        <w:t>Data confidentiality</w:t>
      </w:r>
    </w:p>
    <w:p w:rsidR="006872E8" w:rsidRDefault="00634318" w:rsidP="006872E8">
      <w:pPr>
        <w:pStyle w:val="BodyText"/>
        <w:numPr>
          <w:ilvl w:val="1"/>
          <w:numId w:val="38"/>
        </w:numPr>
      </w:pPr>
      <w:r>
        <w:t>Data accessibility</w:t>
      </w:r>
    </w:p>
    <w:p w:rsidR="0046334B" w:rsidRDefault="006872E8" w:rsidP="0046334B">
      <w:pPr>
        <w:pStyle w:val="BodyText"/>
        <w:numPr>
          <w:ilvl w:val="1"/>
          <w:numId w:val="38"/>
        </w:numPr>
      </w:pPr>
      <w:r>
        <w:t>A</w:t>
      </w:r>
      <w:r w:rsidR="00634318">
        <w:t>udit trails</w:t>
      </w:r>
    </w:p>
    <w:p w:rsidR="00663F0B" w:rsidRPr="009A7398" w:rsidRDefault="00663F0B" w:rsidP="00663F0B">
      <w:pPr>
        <w:pStyle w:val="Heading2"/>
      </w:pPr>
      <w:bookmarkStart w:id="10" w:name="_Toc477959370"/>
      <w:r w:rsidRPr="009A7398">
        <w:t>Historical Data</w:t>
      </w:r>
      <w:bookmarkEnd w:id="10"/>
    </w:p>
    <w:p w:rsidR="00663F0B" w:rsidRPr="009A7398" w:rsidRDefault="00634318" w:rsidP="00663F0B">
      <w:pPr>
        <w:pStyle w:val="BodyText"/>
      </w:pPr>
      <w:r w:rsidRPr="009A7398">
        <w:t>VTS and</w:t>
      </w:r>
      <w:r w:rsidR="00663F0B" w:rsidRPr="009A7398">
        <w:t xml:space="preserve"> allied </w:t>
      </w:r>
      <w:r w:rsidRPr="009A7398">
        <w:t>or</w:t>
      </w:r>
      <w:r w:rsidR="00663F0B" w:rsidRPr="009A7398">
        <w:t xml:space="preserve"> other services may be legally required to maintain records of historical data. There may also be other uses of historical data, e.g. to gather statistics for strategic decision making or for research purposes.</w:t>
      </w:r>
      <w:r w:rsidR="009A7398">
        <w:t xml:space="preserve"> </w:t>
      </w:r>
    </w:p>
    <w:p w:rsidR="00663F0B" w:rsidRPr="009A7398" w:rsidRDefault="009A7398" w:rsidP="00663F0B">
      <w:pPr>
        <w:pStyle w:val="BodyText"/>
      </w:pPr>
      <w:r>
        <w:t>When exchanging historical data, special c</w:t>
      </w:r>
      <w:r w:rsidR="00663F0B" w:rsidRPr="009A7398">
        <w:t>onsideration should be given to</w:t>
      </w:r>
    </w:p>
    <w:p w:rsidR="00663F0B" w:rsidRPr="009A7398" w:rsidRDefault="00663F0B" w:rsidP="00663F0B">
      <w:pPr>
        <w:pStyle w:val="BodyText"/>
        <w:numPr>
          <w:ilvl w:val="0"/>
          <w:numId w:val="46"/>
        </w:numPr>
      </w:pPr>
      <w:r w:rsidRPr="009A7398">
        <w:t>The data to be retained, which could be a sub-set of the available data</w:t>
      </w:r>
    </w:p>
    <w:p w:rsidR="00663F0B" w:rsidRPr="009A7398" w:rsidRDefault="00663F0B" w:rsidP="00663F0B">
      <w:pPr>
        <w:pStyle w:val="BodyText"/>
        <w:numPr>
          <w:ilvl w:val="0"/>
          <w:numId w:val="46"/>
        </w:numPr>
      </w:pPr>
      <w:r w:rsidRPr="009A7398">
        <w:t>The time period to store data on-line/off-line</w:t>
      </w:r>
    </w:p>
    <w:p w:rsidR="00663F0B" w:rsidRPr="009A7398" w:rsidRDefault="00663F0B" w:rsidP="00663F0B">
      <w:pPr>
        <w:pStyle w:val="BodyText"/>
        <w:numPr>
          <w:ilvl w:val="0"/>
          <w:numId w:val="45"/>
        </w:numPr>
      </w:pPr>
      <w:r w:rsidRPr="009A7398">
        <w:t>Adequate storage capacity to cover the required time period</w:t>
      </w:r>
    </w:p>
    <w:p w:rsidR="00663F0B" w:rsidRDefault="00663F0B" w:rsidP="00663F0B">
      <w:pPr>
        <w:pStyle w:val="BodyText"/>
        <w:numPr>
          <w:ilvl w:val="0"/>
          <w:numId w:val="45"/>
        </w:numPr>
      </w:pPr>
      <w:r w:rsidRPr="009A7398">
        <w:t>Facilities for searching through and providing access to historical data</w:t>
      </w:r>
    </w:p>
    <w:p w:rsidR="0046334B" w:rsidRDefault="009A7398" w:rsidP="00663F0B">
      <w:pPr>
        <w:pStyle w:val="BodyText"/>
      </w:pPr>
      <w:r>
        <w:t xml:space="preserve">Most, if not all, considerations regarding the technical aspects of information exchange (as covered in chapter </w:t>
      </w:r>
      <w:r>
        <w:fldChar w:fldCharType="begin"/>
      </w:r>
      <w:r>
        <w:instrText xml:space="preserve"> REF _Ref477956103 \r \h </w:instrText>
      </w:r>
      <w:r>
        <w:fldChar w:fldCharType="separate"/>
      </w:r>
      <w:r>
        <w:t>3</w:t>
      </w:r>
      <w:r>
        <w:fldChar w:fldCharType="end"/>
      </w:r>
      <w:r>
        <w:t>) apply to the exchange of historical data as well.</w:t>
      </w:r>
    </w:p>
    <w:p w:rsidR="001E165A" w:rsidRDefault="001E165A" w:rsidP="00476ADF">
      <w:pPr>
        <w:pStyle w:val="Heading1"/>
        <w:pageBreakBefore/>
        <w:ind w:left="431" w:hanging="431"/>
      </w:pPr>
      <w:bookmarkStart w:id="11" w:name="_Ref477956103"/>
      <w:bookmarkStart w:id="12" w:name="_Toc477959371"/>
      <w:r>
        <w:lastRenderedPageBreak/>
        <w:t xml:space="preserve">TECHNICAL ASPECTS OF INTERACTION WITH </w:t>
      </w:r>
      <w:r w:rsidR="0058408F">
        <w:t>ALLIED OR OTHER SERVICE</w:t>
      </w:r>
      <w:r>
        <w:t>S</w:t>
      </w:r>
      <w:bookmarkEnd w:id="11"/>
      <w:bookmarkEnd w:id="12"/>
    </w:p>
    <w:p w:rsidR="001E165A" w:rsidRPr="001E165A" w:rsidRDefault="001E165A" w:rsidP="001E165A">
      <w:pPr>
        <w:pStyle w:val="Heading1separatationline"/>
      </w:pPr>
    </w:p>
    <w:p w:rsidR="0058408F" w:rsidRDefault="0058408F" w:rsidP="0058408F">
      <w:pPr>
        <w:pStyle w:val="Heading2"/>
      </w:pPr>
      <w:bookmarkStart w:id="13" w:name="_Toc477959372"/>
      <w:r>
        <w:t>INTRODUCTION</w:t>
      </w:r>
      <w:bookmarkEnd w:id="13"/>
    </w:p>
    <w:p w:rsidR="0058408F" w:rsidRDefault="0058408F" w:rsidP="0058408F">
      <w:pPr>
        <w:pStyle w:val="Heading2separationline"/>
      </w:pPr>
    </w:p>
    <w:p w:rsidR="0058408F" w:rsidRDefault="0058408F" w:rsidP="0058408F">
      <w:pPr>
        <w:pStyle w:val="BodyText"/>
      </w:pPr>
      <w:r>
        <w:t>This chapter addresses the specific technical aspects of data exchange.  Each section addresses a particular aspect of the technical interface in more detail.</w:t>
      </w:r>
    </w:p>
    <w:p w:rsidR="0058408F" w:rsidRPr="0058408F" w:rsidRDefault="0058408F" w:rsidP="0058408F">
      <w:pPr>
        <w:pStyle w:val="BodyText"/>
      </w:pPr>
    </w:p>
    <w:p w:rsidR="001E213F" w:rsidRDefault="001E213F" w:rsidP="001E213F">
      <w:pPr>
        <w:pStyle w:val="Heading2"/>
      </w:pPr>
      <w:bookmarkStart w:id="14" w:name="_Toc477959373"/>
      <w:r>
        <w:t>Data Format</w:t>
      </w:r>
      <w:bookmarkEnd w:id="14"/>
    </w:p>
    <w:p w:rsidR="001E213F" w:rsidRDefault="001E213F" w:rsidP="001E213F">
      <w:pPr>
        <w:pStyle w:val="Heading2separationline"/>
      </w:pPr>
    </w:p>
    <w:p w:rsidR="0005574F" w:rsidRDefault="00A04004" w:rsidP="0005574F">
      <w:pPr>
        <w:pStyle w:val="Heading3"/>
      </w:pPr>
      <w:bookmarkStart w:id="15" w:name="_Toc477959374"/>
      <w:r>
        <w:t>Communication Channel Characteristics</w:t>
      </w:r>
      <w:bookmarkEnd w:id="15"/>
    </w:p>
    <w:p w:rsidR="0005574F" w:rsidRPr="0005574F" w:rsidRDefault="0005574F" w:rsidP="0005574F">
      <w:pPr>
        <w:pStyle w:val="BodyText"/>
      </w:pPr>
      <w:r>
        <w:t>The transfer of data between sender and receiver requires connectivity via a network.  A network comprises appropriate hardware and software interconnected by communication channels which may be wired or wireless.</w:t>
      </w:r>
      <w:r w:rsidR="00F743B8">
        <w:t xml:space="preserve"> Each communication channel has a limited capacity </w:t>
      </w:r>
      <w:r w:rsidR="00A04004">
        <w:t xml:space="preserve">and characteristics </w:t>
      </w:r>
      <w:r w:rsidR="00F743B8">
        <w:t xml:space="preserve">that </w:t>
      </w:r>
      <w:r w:rsidR="00A04004">
        <w:t>affect</w:t>
      </w:r>
      <w:r w:rsidR="00F743B8">
        <w:t xml:space="preserve"> the speed at which</w:t>
      </w:r>
      <w:r>
        <w:t xml:space="preserve"> data can be transferred.</w:t>
      </w:r>
      <w:r w:rsidR="00F743B8">
        <w:t xml:space="preserve"> The design of the data exchange </w:t>
      </w:r>
      <w:r w:rsidR="00A04004">
        <w:t>should</w:t>
      </w:r>
      <w:r w:rsidR="00F743B8">
        <w:t xml:space="preserve"> consider the </w:t>
      </w:r>
      <w:r w:rsidR="00A04004">
        <w:t>characteristics of</w:t>
      </w:r>
      <w:r w:rsidR="00F743B8">
        <w:t xml:space="preserve"> the </w:t>
      </w:r>
      <w:r w:rsidR="00A04004">
        <w:t xml:space="preserve">underlying </w:t>
      </w:r>
      <w:r w:rsidR="00F743B8">
        <w:t>communication channel</w:t>
      </w:r>
      <w:r w:rsidR="00A04004">
        <w:t>(s)</w:t>
      </w:r>
      <w:r w:rsidR="00F743B8">
        <w:t xml:space="preserve">. </w:t>
      </w:r>
    </w:p>
    <w:p w:rsidR="00FC6BCE" w:rsidRDefault="00FC6BCE" w:rsidP="00FC6BCE">
      <w:pPr>
        <w:pStyle w:val="Heading3"/>
      </w:pPr>
      <w:bookmarkStart w:id="16" w:name="_Toc477959375"/>
      <w:r>
        <w:t>Data Models</w:t>
      </w:r>
      <w:bookmarkEnd w:id="16"/>
    </w:p>
    <w:p w:rsidR="00FC6BCE" w:rsidRDefault="00A04004" w:rsidP="00FC6BCE">
      <w:pPr>
        <w:pStyle w:val="BodyText"/>
      </w:pPr>
      <w:r>
        <w:t>Exchange of information</w:t>
      </w:r>
      <w:r w:rsidR="00FC6BCE">
        <w:t xml:space="preserve"> requires an understanding of how</w:t>
      </w:r>
      <w:r>
        <w:t xml:space="preserve"> information is encoded, i.e. how data values</w:t>
      </w:r>
      <w:r w:rsidR="00FC6BCE">
        <w:t xml:space="preserve"> are represented and </w:t>
      </w:r>
      <w:r>
        <w:t xml:space="preserve">an unambiguous description of </w:t>
      </w:r>
      <w:r w:rsidR="00FC6BCE">
        <w:t>their meaning</w:t>
      </w:r>
      <w:r w:rsidR="00CB5D31">
        <w:t xml:space="preserve"> (including the appropriate business context)</w:t>
      </w:r>
      <w:r w:rsidR="00FC6BCE">
        <w:t>.</w:t>
      </w:r>
      <w:r w:rsidR="00CB5D31">
        <w:t xml:space="preserve"> This is captured in a data model which describes</w:t>
      </w:r>
    </w:p>
    <w:p w:rsidR="00CB5D31" w:rsidRDefault="00CB5D31" w:rsidP="00CB5D31">
      <w:pPr>
        <w:pStyle w:val="Bullet1"/>
      </w:pPr>
      <w:r>
        <w:t>The structure of the data in terms of data fields;</w:t>
      </w:r>
    </w:p>
    <w:p w:rsidR="00FC6BCE" w:rsidRDefault="00CB5D31" w:rsidP="00FC6BCE">
      <w:pPr>
        <w:pStyle w:val="Bullet1"/>
      </w:pPr>
      <w:r>
        <w:t xml:space="preserve">The </w:t>
      </w:r>
      <w:r w:rsidR="00FC6BCE">
        <w:t>semantics of the data fields</w:t>
      </w:r>
      <w:r>
        <w:t>, including the appropriate context</w:t>
      </w:r>
      <w:r w:rsidR="00FC6BCE">
        <w:t>;</w:t>
      </w:r>
    </w:p>
    <w:p w:rsidR="00FC6BCE" w:rsidRDefault="00CB5D31" w:rsidP="00FC6BCE">
      <w:pPr>
        <w:pStyle w:val="Bullet1"/>
      </w:pPr>
      <w:r>
        <w:t xml:space="preserve">The </w:t>
      </w:r>
      <w:r w:rsidR="00FC6BCE">
        <w:t>permissible ranges of a data field</w:t>
      </w:r>
      <w:r>
        <w:t>, including representation of invalid/not available data</w:t>
      </w:r>
      <w:r w:rsidR="00FC6BCE">
        <w:t>.</w:t>
      </w:r>
    </w:p>
    <w:p w:rsidR="00FC6BCE" w:rsidRPr="00FC6BCE" w:rsidRDefault="00FC6BCE" w:rsidP="00FC6BCE">
      <w:pPr>
        <w:pStyle w:val="BodyText"/>
      </w:pPr>
      <w:r>
        <w:t xml:space="preserve">The </w:t>
      </w:r>
      <w:r w:rsidRPr="00705747">
        <w:rPr>
          <w:highlight w:val="green"/>
        </w:rPr>
        <w:t xml:space="preserve">IHO S-100 standard </w:t>
      </w:r>
      <w:r w:rsidRPr="00705747">
        <w:rPr>
          <w:highlight w:val="green"/>
        </w:rPr>
        <w:fldChar w:fldCharType="begin"/>
      </w:r>
      <w:r w:rsidRPr="00705747">
        <w:rPr>
          <w:highlight w:val="green"/>
        </w:rPr>
        <w:instrText xml:space="preserve"> REF _Ref466193037 \r \h </w:instrText>
      </w:r>
      <w:r>
        <w:rPr>
          <w:highlight w:val="green"/>
        </w:rPr>
        <w:instrText xml:space="preserve"> \* MERGEFORMAT </w:instrText>
      </w:r>
      <w:r w:rsidRPr="00705747">
        <w:rPr>
          <w:highlight w:val="green"/>
        </w:rPr>
      </w:r>
      <w:r w:rsidRPr="00705747">
        <w:rPr>
          <w:highlight w:val="green"/>
        </w:rPr>
        <w:fldChar w:fldCharType="separate"/>
      </w:r>
      <w:r w:rsidRPr="00705747">
        <w:rPr>
          <w:highlight w:val="green"/>
        </w:rPr>
        <w:t>[9]</w:t>
      </w:r>
      <w:r w:rsidRPr="00705747">
        <w:rPr>
          <w:highlight w:val="green"/>
        </w:rPr>
        <w:fldChar w:fldCharType="end"/>
      </w:r>
      <w:r>
        <w:t xml:space="preserve"> is a </w:t>
      </w:r>
      <w:r w:rsidR="00CB5D31">
        <w:t xml:space="preserve">specific </w:t>
      </w:r>
      <w:r>
        <w:t xml:space="preserve">framework standard </w:t>
      </w:r>
      <w:r w:rsidR="00CB5D31">
        <w:t>for the</w:t>
      </w:r>
      <w:r>
        <w:t xml:space="preserve"> development of data models for a variety of common and maritim</w:t>
      </w:r>
      <w:r w:rsidR="00CB5D31">
        <w:t>e-</w:t>
      </w:r>
      <w:r>
        <w:t>spe</w:t>
      </w:r>
      <w:r w:rsidR="00CB5D31">
        <w:t>cific information.  S-100 data models</w:t>
      </w:r>
      <w:r>
        <w:t xml:space="preserve"> are ma</w:t>
      </w:r>
      <w:r w:rsidR="00FD3143">
        <w:t>intained in the IHO GI Registry and IALA wa</w:t>
      </w:r>
      <w:r w:rsidR="00CB5D31">
        <w:t>s assigned its own section</w:t>
      </w:r>
      <w:r w:rsidR="00FD3143">
        <w:t xml:space="preserve"> within this registry.</w:t>
      </w:r>
    </w:p>
    <w:p w:rsidR="00FC6BCE" w:rsidRDefault="00FD3143" w:rsidP="00FC6BCE">
      <w:pPr>
        <w:pStyle w:val="Heading4"/>
      </w:pPr>
      <w:r>
        <w:t>Version C</w:t>
      </w:r>
      <w:r w:rsidR="00FC6BCE">
        <w:t>ontrol</w:t>
      </w:r>
    </w:p>
    <w:p w:rsidR="001E213F" w:rsidRPr="001E213F" w:rsidRDefault="00FC6BCE" w:rsidP="001E213F">
      <w:pPr>
        <w:pStyle w:val="BodyText"/>
      </w:pPr>
      <w:r>
        <w:t xml:space="preserve">Version control procedures </w:t>
      </w:r>
      <w:r w:rsidR="00FD3143">
        <w:t>should be established to allow additions to and/or further development of the technical interface. Preferably, versioning should be defined as a part of the technical interface.</w:t>
      </w:r>
    </w:p>
    <w:p w:rsidR="001E213F" w:rsidRDefault="001E213F" w:rsidP="001E213F">
      <w:pPr>
        <w:pStyle w:val="Heading2"/>
      </w:pPr>
      <w:bookmarkStart w:id="17" w:name="_Toc477959376"/>
      <w:r>
        <w:t>Timing</w:t>
      </w:r>
      <w:bookmarkEnd w:id="17"/>
    </w:p>
    <w:p w:rsidR="001E213F" w:rsidRDefault="001E213F" w:rsidP="001E213F">
      <w:pPr>
        <w:pStyle w:val="Heading2separationline"/>
      </w:pPr>
    </w:p>
    <w:p w:rsidR="00FC6BCE" w:rsidRDefault="00AB60E3" w:rsidP="00FC6BCE">
      <w:pPr>
        <w:pStyle w:val="Heading3"/>
      </w:pPr>
      <w:bookmarkStart w:id="18" w:name="_Toc477959377"/>
      <w:r>
        <w:t>Messaging Pattern</w:t>
      </w:r>
      <w:bookmarkEnd w:id="18"/>
    </w:p>
    <w:p w:rsidR="00AB60E3" w:rsidRPr="002F42A9" w:rsidRDefault="00AB60E3" w:rsidP="00FC6BCE">
      <w:pPr>
        <w:pStyle w:val="BodyText"/>
      </w:pPr>
      <w:r w:rsidRPr="002F42A9">
        <w:t>Different messaging patterns may be used, depending on the specific data sharing requirements</w:t>
      </w:r>
      <w:r w:rsidR="00F9140C">
        <w:t>. In particular, data may be sent from one sender to exactly one receiver or from one sender to many receivers. The following patterns are most common:</w:t>
      </w:r>
    </w:p>
    <w:p w:rsidR="00AB60E3" w:rsidRPr="002F42A9" w:rsidRDefault="00AB60E3" w:rsidP="00AB60E3">
      <w:pPr>
        <w:pStyle w:val="BodyText"/>
        <w:numPr>
          <w:ilvl w:val="0"/>
          <w:numId w:val="44"/>
        </w:numPr>
      </w:pPr>
      <w:r w:rsidRPr="002F42A9">
        <w:t xml:space="preserve">Publish versus Subscribe; with “publish”, the sender determines what data will be </w:t>
      </w:r>
      <w:r w:rsidR="002F42A9" w:rsidRPr="002F42A9">
        <w:t>made available and when</w:t>
      </w:r>
      <w:r w:rsidRPr="002F42A9">
        <w:t xml:space="preserve"> (independent of any receivers); with “subscribe” the receiver requests what (and, sometimes, when) data will be sent.</w:t>
      </w:r>
    </w:p>
    <w:p w:rsidR="00BF58B4" w:rsidRPr="00F9140C" w:rsidRDefault="00BF58B4" w:rsidP="00AB60E3">
      <w:pPr>
        <w:pStyle w:val="BodyText"/>
        <w:numPr>
          <w:ilvl w:val="0"/>
          <w:numId w:val="44"/>
        </w:numPr>
      </w:pPr>
      <w:r w:rsidRPr="00F9140C">
        <w:t>Push versus Pull; with “push”</w:t>
      </w:r>
      <w:r w:rsidR="002F42A9" w:rsidRPr="00F9140C">
        <w:t xml:space="preserve"> the sender determines </w:t>
      </w:r>
      <w:r w:rsidR="00F9140C" w:rsidRPr="00F9140C">
        <w:t xml:space="preserve"> what data will be sent and when; with “pull” the receiver requests what data will be sent and when . </w:t>
      </w:r>
    </w:p>
    <w:p w:rsidR="00245D4B" w:rsidRPr="00F9140C" w:rsidRDefault="00245D4B" w:rsidP="00AB60E3">
      <w:pPr>
        <w:pStyle w:val="BodyText"/>
        <w:numPr>
          <w:ilvl w:val="0"/>
          <w:numId w:val="44"/>
        </w:numPr>
      </w:pPr>
      <w:r w:rsidRPr="00F9140C">
        <w:t>Request/response</w:t>
      </w:r>
      <w:r w:rsidR="00F9140C" w:rsidRPr="00F9140C">
        <w:t>; with “request” the receiver sends a request for data to the sender; with “response” the sender determines when the requested data will be sent to the receiver.</w:t>
      </w:r>
    </w:p>
    <w:p w:rsidR="00FC6BCE" w:rsidRPr="00F9140C" w:rsidRDefault="00D235D9" w:rsidP="00FC6BCE">
      <w:pPr>
        <w:pStyle w:val="BodyText"/>
        <w:numPr>
          <w:ilvl w:val="0"/>
          <w:numId w:val="44"/>
        </w:numPr>
      </w:pPr>
      <w:r w:rsidRPr="00F9140C">
        <w:t xml:space="preserve">Continuous data </w:t>
      </w:r>
      <w:r w:rsidR="00DC4FA1" w:rsidRPr="00F9140C">
        <w:t>connection</w:t>
      </w:r>
      <w:r w:rsidRPr="00F9140C">
        <w:t xml:space="preserve"> (possibly with a “heart beat”</w:t>
      </w:r>
      <w:r w:rsidR="00DC4FA1" w:rsidRPr="00F9140C">
        <w:t xml:space="preserve"> to allow redundancy</w:t>
      </w:r>
      <w:r w:rsidRPr="00F9140C">
        <w:t>)</w:t>
      </w:r>
      <w:r w:rsidR="00F9140C">
        <w:t xml:space="preserve">. Mainly used </w:t>
      </w:r>
    </w:p>
    <w:p w:rsidR="00FC6BCE" w:rsidRDefault="00AB60E3" w:rsidP="00FC6BCE">
      <w:pPr>
        <w:pStyle w:val="Heading3"/>
      </w:pPr>
      <w:bookmarkStart w:id="19" w:name="_Toc477959378"/>
      <w:r>
        <w:lastRenderedPageBreak/>
        <w:t>Time S</w:t>
      </w:r>
      <w:r w:rsidR="00FC6BCE">
        <w:t>tamping</w:t>
      </w:r>
      <w:bookmarkEnd w:id="19"/>
    </w:p>
    <w:p w:rsidR="00DC4FA1" w:rsidRDefault="00D235D9" w:rsidP="00D235D9">
      <w:pPr>
        <w:pStyle w:val="BodyText"/>
      </w:pPr>
      <w:r>
        <w:t xml:space="preserve">In principle, data should be appropriately time stamped. </w:t>
      </w:r>
      <w:r w:rsidR="00FC6BCE">
        <w:t xml:space="preserve">The time stamp should preferably be at </w:t>
      </w:r>
      <w:r>
        <w:t xml:space="preserve">the </w:t>
      </w:r>
      <w:r w:rsidR="00FC6BCE">
        <w:t xml:space="preserve">time of origin </w:t>
      </w:r>
      <w:r>
        <w:t>of the data</w:t>
      </w:r>
      <w:r w:rsidR="00FC6BCE">
        <w:t>.</w:t>
      </w:r>
      <w:r>
        <w:t xml:space="preserve"> </w:t>
      </w:r>
      <w:r w:rsidR="00DC4FA1">
        <w:t xml:space="preserve">If this is not possible, the data should be time-stamped when received. </w:t>
      </w:r>
    </w:p>
    <w:p w:rsidR="00FC6BCE" w:rsidRDefault="00DC4FA1" w:rsidP="00D235D9">
      <w:pPr>
        <w:pStyle w:val="BodyText"/>
      </w:pPr>
      <w:r>
        <w:t>Proper t</w:t>
      </w:r>
      <w:r w:rsidR="00D235D9">
        <w:t xml:space="preserve">ime stamping </w:t>
      </w:r>
      <w:r>
        <w:t>is a pre-requisite e.g. for</w:t>
      </w:r>
      <w:r w:rsidR="00D235D9">
        <w:t xml:space="preserve"> proper sequencing of the data and recording and replay.</w:t>
      </w:r>
    </w:p>
    <w:p w:rsidR="001E213F" w:rsidRDefault="00FC6BCE" w:rsidP="001E213F">
      <w:pPr>
        <w:pStyle w:val="Heading2"/>
      </w:pPr>
      <w:bookmarkStart w:id="20" w:name="_Toc477959379"/>
      <w:r>
        <w:t xml:space="preserve">Availability and </w:t>
      </w:r>
      <w:r w:rsidR="00B10521">
        <w:t>Data Integrity</w:t>
      </w:r>
      <w:bookmarkEnd w:id="20"/>
    </w:p>
    <w:p w:rsidR="001E213F" w:rsidRDefault="001E213F" w:rsidP="001E213F">
      <w:pPr>
        <w:pStyle w:val="Heading2separationline"/>
      </w:pPr>
    </w:p>
    <w:p w:rsidR="00FC6BCE" w:rsidRDefault="00245D4B" w:rsidP="00FC6BCE">
      <w:pPr>
        <w:pStyle w:val="Heading3"/>
      </w:pPr>
      <w:bookmarkStart w:id="21" w:name="_Toc477959380"/>
      <w:r>
        <w:t>Availability of Equipment and Service</w:t>
      </w:r>
      <w:r w:rsidR="00FC6BCE">
        <w:t>s</w:t>
      </w:r>
      <w:bookmarkEnd w:id="21"/>
    </w:p>
    <w:p w:rsidR="00FC6BCE" w:rsidRDefault="007D676B" w:rsidP="00FC6BCE">
      <w:pPr>
        <w:pStyle w:val="BodyText"/>
      </w:pPr>
      <w:r>
        <w:t>Careful consideration should be given to the required availability as part of the agreement between VTS and allied or other services. A</w:t>
      </w:r>
      <w:r w:rsidR="00245D4B">
        <w:t xml:space="preserve"> trade-off </w:t>
      </w:r>
      <w:r>
        <w:t xml:space="preserve">should be made </w:t>
      </w:r>
      <w:r w:rsidR="00245D4B">
        <w:t>between availability and cost</w:t>
      </w:r>
      <w:r>
        <w:t>. High levels of availability require more complex system architectures and correspondingly higher costs.</w:t>
      </w:r>
    </w:p>
    <w:p w:rsidR="00FC6BCE" w:rsidRDefault="00AD19EA" w:rsidP="00FC6BCE">
      <w:pPr>
        <w:pStyle w:val="BodyText"/>
      </w:pPr>
      <w:r>
        <w:t>A simple means of improving availability is by having spare parts readily available (which reduces the repair time). More complex solutions use redundant hardware and/or services.</w:t>
      </w:r>
    </w:p>
    <w:p w:rsidR="00AD19EA" w:rsidRDefault="00AD19EA" w:rsidP="00AD19EA">
      <w:pPr>
        <w:pStyle w:val="Heading3"/>
      </w:pPr>
      <w:bookmarkStart w:id="22" w:name="_Toc477959381"/>
      <w:r>
        <w:t>Availability of Data</w:t>
      </w:r>
      <w:bookmarkEnd w:id="22"/>
    </w:p>
    <w:p w:rsidR="00AD19EA" w:rsidRDefault="00AD19EA" w:rsidP="00FC6BCE">
      <w:pPr>
        <w:pStyle w:val="BodyText"/>
      </w:pPr>
      <w:r>
        <w:t>Consideration should be given to proper backup of data. This means that data can be restored in case it gets corrupted or deleted.</w:t>
      </w:r>
    </w:p>
    <w:p w:rsidR="00AD19EA" w:rsidRDefault="00AD19EA" w:rsidP="00AD19EA">
      <w:pPr>
        <w:pStyle w:val="BodyText"/>
        <w:numPr>
          <w:ilvl w:val="0"/>
          <w:numId w:val="47"/>
        </w:numPr>
      </w:pPr>
      <w:r>
        <w:t>Backup frequency</w:t>
      </w:r>
      <w:r w:rsidR="00095560">
        <w:t xml:space="preserve"> (incremental/full)</w:t>
      </w:r>
    </w:p>
    <w:p w:rsidR="00095560" w:rsidRDefault="00095560" w:rsidP="00AD19EA">
      <w:pPr>
        <w:pStyle w:val="BodyText"/>
        <w:numPr>
          <w:ilvl w:val="0"/>
          <w:numId w:val="47"/>
        </w:numPr>
      </w:pPr>
      <w:r>
        <w:t>Backup media (disk/tape/cloud/paper punch)</w:t>
      </w:r>
    </w:p>
    <w:p w:rsidR="00AD19EA" w:rsidRDefault="00095560" w:rsidP="00AD19EA">
      <w:pPr>
        <w:pStyle w:val="BodyText"/>
        <w:numPr>
          <w:ilvl w:val="0"/>
          <w:numId w:val="47"/>
        </w:numPr>
      </w:pPr>
      <w:r>
        <w:t>Retention of backup copies</w:t>
      </w:r>
    </w:p>
    <w:p w:rsidR="00AD19EA" w:rsidRDefault="00AD19EA" w:rsidP="00AD19EA">
      <w:pPr>
        <w:pStyle w:val="BodyText"/>
        <w:numPr>
          <w:ilvl w:val="0"/>
          <w:numId w:val="47"/>
        </w:numPr>
      </w:pPr>
      <w:r>
        <w:t>Time</w:t>
      </w:r>
      <w:r w:rsidR="00095560">
        <w:t xml:space="preserve"> needed</w:t>
      </w:r>
      <w:r>
        <w:t xml:space="preserve"> to restore</w:t>
      </w:r>
      <w:r w:rsidR="00095560">
        <w:t xml:space="preserve"> data from backup</w:t>
      </w:r>
    </w:p>
    <w:p w:rsidR="00AD19EA" w:rsidRPr="00FC6BCE" w:rsidRDefault="00AD19EA" w:rsidP="00095560">
      <w:pPr>
        <w:pStyle w:val="BodyText"/>
        <w:numPr>
          <w:ilvl w:val="0"/>
          <w:numId w:val="47"/>
        </w:numPr>
      </w:pPr>
      <w:r>
        <w:t>Safekeeping</w:t>
      </w:r>
      <w:r w:rsidR="00095560">
        <w:t xml:space="preserve"> of backup copies (protection, geographic diversity)</w:t>
      </w:r>
    </w:p>
    <w:p w:rsidR="00FC6BCE" w:rsidRDefault="00FC6BCE" w:rsidP="00FC6BCE">
      <w:pPr>
        <w:pStyle w:val="Heading3"/>
      </w:pPr>
      <w:bookmarkStart w:id="23" w:name="_Toc477959382"/>
      <w:r>
        <w:t>Data Integrity</w:t>
      </w:r>
      <w:bookmarkEnd w:id="23"/>
    </w:p>
    <w:p w:rsidR="002D19B6" w:rsidRDefault="00FC6BCE" w:rsidP="00FC6BCE">
      <w:pPr>
        <w:pStyle w:val="BodyText"/>
      </w:pPr>
      <w:r w:rsidRPr="000F1030">
        <w:t>Da</w:t>
      </w:r>
      <w:r w:rsidR="000F1030" w:rsidRPr="000F1030">
        <w:t>ta integrity is a key concern for</w:t>
      </w:r>
      <w:r w:rsidRPr="000F1030">
        <w:t xml:space="preserve"> both users and providers</w:t>
      </w:r>
      <w:r w:rsidR="000F1030" w:rsidRPr="000F1030">
        <w:t xml:space="preserve"> of data</w:t>
      </w:r>
      <w:r w:rsidRPr="000F1030">
        <w:t>.</w:t>
      </w:r>
      <w:r w:rsidR="002D19B6">
        <w:t xml:space="preserve"> This means that, in general,</w:t>
      </w:r>
    </w:p>
    <w:p w:rsidR="002D19B6" w:rsidRDefault="002D19B6" w:rsidP="002D19B6">
      <w:pPr>
        <w:pStyle w:val="BodyText"/>
        <w:numPr>
          <w:ilvl w:val="0"/>
          <w:numId w:val="48"/>
        </w:numPr>
      </w:pPr>
      <w:r>
        <w:t>data should be traceable</w:t>
      </w:r>
      <w:r w:rsidRPr="002D19B6">
        <w:t xml:space="preserve"> </w:t>
      </w:r>
      <w:r>
        <w:t>to its origin,</w:t>
      </w:r>
    </w:p>
    <w:p w:rsidR="002D19B6" w:rsidRDefault="002D19B6" w:rsidP="002D19B6">
      <w:pPr>
        <w:pStyle w:val="BodyText"/>
        <w:numPr>
          <w:ilvl w:val="0"/>
          <w:numId w:val="48"/>
        </w:numPr>
      </w:pPr>
      <w:r>
        <w:t>data corruption/alte</w:t>
      </w:r>
      <w:r w:rsidR="00B10521">
        <w:t>ration should be detectable,</w:t>
      </w:r>
    </w:p>
    <w:p w:rsidR="00FC6BCE" w:rsidRDefault="002D19B6" w:rsidP="002D19B6">
      <w:pPr>
        <w:pStyle w:val="BodyText"/>
        <w:numPr>
          <w:ilvl w:val="0"/>
          <w:numId w:val="48"/>
        </w:numPr>
      </w:pPr>
      <w:r>
        <w:t>data should be properly time-stamped and should, prefe</w:t>
      </w:r>
      <w:r w:rsidR="00B10521">
        <w:t>rably, have a quality attribute,</w:t>
      </w:r>
    </w:p>
    <w:p w:rsidR="00B10521" w:rsidRPr="000F1030" w:rsidRDefault="00B10521" w:rsidP="002D19B6">
      <w:pPr>
        <w:pStyle w:val="BodyText"/>
        <w:numPr>
          <w:ilvl w:val="0"/>
          <w:numId w:val="48"/>
        </w:numPr>
      </w:pPr>
      <w:r>
        <w:t>data providers should have procedures in place to ensure the proper functioning of the data capture/generation process</w:t>
      </w:r>
    </w:p>
    <w:p w:rsidR="00B10521" w:rsidRPr="001E213F" w:rsidRDefault="00B10521" w:rsidP="00B10521">
      <w:pPr>
        <w:pStyle w:val="BodyText"/>
      </w:pPr>
      <w:r>
        <w:t xml:space="preserve">Data that is not available or is detected as invalid should be represented as such. </w:t>
      </w:r>
    </w:p>
    <w:p w:rsidR="001E213F" w:rsidRDefault="001E213F" w:rsidP="001E213F">
      <w:pPr>
        <w:pStyle w:val="Heading2"/>
      </w:pPr>
      <w:bookmarkStart w:id="24" w:name="_Toc477959383"/>
      <w:r>
        <w:t>Security</w:t>
      </w:r>
      <w:bookmarkEnd w:id="24"/>
    </w:p>
    <w:p w:rsidR="001E213F" w:rsidRDefault="001E213F" w:rsidP="001E213F">
      <w:pPr>
        <w:pStyle w:val="Heading2separationline"/>
      </w:pPr>
    </w:p>
    <w:p w:rsidR="00FC6BCE" w:rsidRDefault="00FC6BCE" w:rsidP="00FC6BCE">
      <w:pPr>
        <w:pStyle w:val="Heading3"/>
      </w:pPr>
      <w:bookmarkStart w:id="25" w:name="_Toc477959384"/>
      <w:r>
        <w:t>Data Confidentiality</w:t>
      </w:r>
      <w:bookmarkEnd w:id="25"/>
    </w:p>
    <w:p w:rsidR="00FC6BCE" w:rsidRDefault="00FC6BCE" w:rsidP="00FC6BCE">
      <w:pPr>
        <w:pStyle w:val="BodyText"/>
      </w:pPr>
      <w:r>
        <w:t xml:space="preserve">The </w:t>
      </w:r>
      <w:r w:rsidR="00F207BF">
        <w:t>data exchanged between VTS and a</w:t>
      </w:r>
      <w:r>
        <w:t xml:space="preserve">llied or </w:t>
      </w:r>
      <w:r w:rsidR="00F207BF">
        <w:t>other services</w:t>
      </w:r>
      <w:r>
        <w:t xml:space="preserve"> may have considerable business value and/or contain data that is privacy-sensitive. Therefore, proper care should be taken to protect this data </w:t>
      </w:r>
      <w:r w:rsidR="003954A1">
        <w:t xml:space="preserve">while stored and </w:t>
      </w:r>
      <w:r>
        <w:t>during transmission.</w:t>
      </w:r>
    </w:p>
    <w:p w:rsidR="00FC6BCE" w:rsidRDefault="00FC6BCE" w:rsidP="00FC6BCE">
      <w:pPr>
        <w:pStyle w:val="BodyText"/>
      </w:pPr>
      <w:r>
        <w:t xml:space="preserve">It is recommended to use an appropriately secured transmission channel, e.g. a Virtual Private Network (VPN), to avoid unauthorised access during data transmission. </w:t>
      </w:r>
      <w:r w:rsidR="003954A1">
        <w:t>Also, w</w:t>
      </w:r>
      <w:r>
        <w:t xml:space="preserve">hen </w:t>
      </w:r>
      <w:r w:rsidR="003954A1">
        <w:t xml:space="preserve">sensitive </w:t>
      </w:r>
      <w:r>
        <w:t xml:space="preserve">data is stored, </w:t>
      </w:r>
      <w:r w:rsidR="003954A1">
        <w:t>it may be appropriate to encrypt the data.</w:t>
      </w:r>
    </w:p>
    <w:p w:rsidR="00FC6BCE" w:rsidRDefault="003954A1" w:rsidP="00FC6BCE">
      <w:pPr>
        <w:pStyle w:val="Heading3"/>
      </w:pPr>
      <w:bookmarkStart w:id="26" w:name="_Toc477959385"/>
      <w:r>
        <w:lastRenderedPageBreak/>
        <w:t xml:space="preserve">Data </w:t>
      </w:r>
      <w:r w:rsidR="00FC6BCE">
        <w:t>Accessibility</w:t>
      </w:r>
      <w:bookmarkEnd w:id="26"/>
    </w:p>
    <w:p w:rsidR="001E213F" w:rsidRDefault="003954A1" w:rsidP="001E213F">
      <w:pPr>
        <w:pStyle w:val="BodyText"/>
      </w:pPr>
      <w:r>
        <w:t>Access to data should be properly governed, which means that proper procedures should be set-up to limit access to</w:t>
      </w:r>
      <w:r w:rsidR="00862539">
        <w:t xml:space="preserve"> sensitive data to</w:t>
      </w:r>
      <w:r>
        <w:t xml:space="preserve"> authorised personal only.</w:t>
      </w:r>
    </w:p>
    <w:p w:rsidR="00862539" w:rsidRDefault="00862539" w:rsidP="00862539">
      <w:pPr>
        <w:pStyle w:val="Heading3"/>
      </w:pPr>
      <w:bookmarkStart w:id="27" w:name="_Toc477959386"/>
      <w:r>
        <w:t>Audit Trails</w:t>
      </w:r>
      <w:bookmarkEnd w:id="27"/>
    </w:p>
    <w:p w:rsidR="00FF7C07" w:rsidRPr="00476ADF" w:rsidRDefault="00862539" w:rsidP="00476ADF">
      <w:pPr>
        <w:pStyle w:val="BodyText"/>
      </w:pPr>
      <w:r>
        <w:t>It may be appropriate to maintain audit trails of access to sensitive data. Additionally, it may be necessary to attach audit trails to the sensitive data itself, e.g. recording all transactions that were executed with that particular data.</w:t>
      </w:r>
      <w:r w:rsidR="00FF7C07">
        <w:br w:type="page"/>
      </w:r>
    </w:p>
    <w:p w:rsidR="0046334B" w:rsidRDefault="00FC6BCE" w:rsidP="0046334B">
      <w:pPr>
        <w:pStyle w:val="Heading1"/>
        <w:ind w:left="426" w:hanging="426"/>
      </w:pPr>
      <w:bookmarkStart w:id="28" w:name="_Toc477959387"/>
      <w:r>
        <w:lastRenderedPageBreak/>
        <w:t>A</w:t>
      </w:r>
      <w:r w:rsidR="0058408F">
        <w:t>DDITIONAL</w:t>
      </w:r>
      <w:r>
        <w:t xml:space="preserve"> </w:t>
      </w:r>
      <w:r w:rsidR="0046334B">
        <w:t>LEGAL ASPECTS AND CONSTRAINTS</w:t>
      </w:r>
      <w:bookmarkEnd w:id="28"/>
    </w:p>
    <w:p w:rsidR="0046334B" w:rsidRPr="001E165A" w:rsidRDefault="0046334B" w:rsidP="0046334B">
      <w:pPr>
        <w:pStyle w:val="Heading1separatationline"/>
      </w:pPr>
    </w:p>
    <w:p w:rsidR="0046334B" w:rsidRDefault="0046334B" w:rsidP="0046334B">
      <w:pPr>
        <w:pStyle w:val="BodyText"/>
      </w:pPr>
      <w:r>
        <w:t xml:space="preserve">Legal aspects and constraints </w:t>
      </w:r>
      <w:r w:rsidR="00FC6BCE">
        <w:t xml:space="preserve">with respect to operational use of shared information </w:t>
      </w:r>
      <w:r>
        <w:t xml:space="preserve">are </w:t>
      </w:r>
      <w:r w:rsidR="00FC6BCE">
        <w:t xml:space="preserve">already </w:t>
      </w:r>
      <w:r>
        <w:t>considered in IALA Guideline</w:t>
      </w:r>
      <w:r w:rsidR="00417558">
        <w:t>s</w:t>
      </w:r>
      <w:r>
        <w:t xml:space="preserve"> 1102</w:t>
      </w:r>
      <w:r w:rsidR="00417558">
        <w:t xml:space="preserve"> and 1086 in particular</w:t>
      </w:r>
      <w:r>
        <w:t>.</w:t>
      </w:r>
    </w:p>
    <w:p w:rsidR="00FC6BCE" w:rsidRDefault="00FC6BCE" w:rsidP="0046334B">
      <w:pPr>
        <w:pStyle w:val="BodyText"/>
      </w:pPr>
      <w:r>
        <w:t>Further legal requi</w:t>
      </w:r>
      <w:r w:rsidR="00417558">
        <w:t>rements may be applicable to the technical realisation, such as</w:t>
      </w:r>
    </w:p>
    <w:p w:rsidR="00417558" w:rsidRDefault="00417558" w:rsidP="00417558">
      <w:pPr>
        <w:pStyle w:val="BodyText"/>
        <w:numPr>
          <w:ilvl w:val="0"/>
          <w:numId w:val="43"/>
        </w:numPr>
      </w:pPr>
      <w:r>
        <w:t>Privacy, e.g.  there may be requirements for access to data</w:t>
      </w:r>
    </w:p>
    <w:p w:rsidR="00417558" w:rsidRDefault="00417558" w:rsidP="00417558">
      <w:pPr>
        <w:pStyle w:val="BodyText"/>
        <w:numPr>
          <w:ilvl w:val="0"/>
          <w:numId w:val="43"/>
        </w:numPr>
      </w:pPr>
      <w:r>
        <w:t>Storage, e.g. limitations on the maximum allowed period</w:t>
      </w:r>
    </w:p>
    <w:p w:rsidR="00417558" w:rsidRDefault="00417558" w:rsidP="00417558">
      <w:pPr>
        <w:pStyle w:val="BodyText"/>
      </w:pPr>
    </w:p>
    <w:p w:rsidR="00E069B6" w:rsidRDefault="00E069B6" w:rsidP="00E069B6">
      <w:pPr>
        <w:pStyle w:val="Heading1"/>
      </w:pPr>
      <w:bookmarkStart w:id="29" w:name="_Toc457215592"/>
      <w:bookmarkStart w:id="30" w:name="_Toc477959388"/>
      <w:r>
        <w:t>DEFINITIONS</w:t>
      </w:r>
      <w:bookmarkEnd w:id="29"/>
      <w:bookmarkEnd w:id="30"/>
    </w:p>
    <w:p w:rsidR="00E069B6" w:rsidRDefault="00E069B6" w:rsidP="00E069B6">
      <w:pPr>
        <w:pStyle w:val="Heading1separatationline"/>
      </w:pPr>
    </w:p>
    <w:p w:rsidR="001E165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0" w:history="1">
        <w:r w:rsidRPr="008766B4">
          <w:rPr>
            <w:rStyle w:val="Hyperlink"/>
          </w:rPr>
          <w:t>http://www.iala-aism.org/wiki/dictionary</w:t>
        </w:r>
      </w:hyperlink>
      <w:r w:rsidRPr="008766B4">
        <w:t xml:space="preserve"> and were checked as correct at the time of going to print.</w:t>
      </w:r>
    </w:p>
    <w:p w:rsidR="00B67A4C" w:rsidRDefault="00B67A4C" w:rsidP="00E069B6">
      <w:pPr>
        <w:pStyle w:val="BodyText"/>
      </w:pPr>
    </w:p>
    <w:p w:rsidR="00E069B6" w:rsidRDefault="00E069B6" w:rsidP="00E069B6">
      <w:pPr>
        <w:pStyle w:val="Heading1"/>
      </w:pPr>
      <w:bookmarkStart w:id="31" w:name="_Toc477959389"/>
      <w:r>
        <w:t>ACRONYMS</w:t>
      </w:r>
      <w:bookmarkEnd w:id="31"/>
    </w:p>
    <w:p w:rsidR="00E069B6" w:rsidRPr="00E069B6" w:rsidRDefault="00E069B6" w:rsidP="00E069B6">
      <w:pPr>
        <w:pStyle w:val="Heading1separatationline"/>
      </w:pPr>
    </w:p>
    <w:p w:rsidR="00CF10A9" w:rsidRDefault="00CF10A9" w:rsidP="00DE62BF">
      <w:pPr>
        <w:pStyle w:val="Acronym"/>
      </w:pPr>
      <w:r>
        <w:t>AIS</w:t>
      </w:r>
      <w:r>
        <w:tab/>
      </w:r>
      <w:r w:rsidR="00295352">
        <w:rPr>
          <w:szCs w:val="18"/>
        </w:rPr>
        <w:t>Automatic Identification System</w:t>
      </w:r>
    </w:p>
    <w:p w:rsidR="00CF10A9" w:rsidRDefault="00DE62BF" w:rsidP="00E069B6">
      <w:pPr>
        <w:pStyle w:val="Acronym"/>
      </w:pPr>
      <w:r>
        <w:t>EOS</w:t>
      </w:r>
      <w:r w:rsidR="00CF10A9">
        <w:tab/>
      </w:r>
      <w:r>
        <w:rPr>
          <w:szCs w:val="18"/>
        </w:rPr>
        <w:t>Electro-Optical System</w:t>
      </w:r>
    </w:p>
    <w:p w:rsidR="00CF10A9" w:rsidRDefault="00CF10A9" w:rsidP="00E069B6">
      <w:pPr>
        <w:pStyle w:val="Acronym"/>
      </w:pPr>
      <w:r>
        <w:t>GI</w:t>
      </w:r>
      <w:r>
        <w:tab/>
      </w:r>
      <w:r w:rsidR="00953E67" w:rsidRPr="00996CAC">
        <w:rPr>
          <w:szCs w:val="18"/>
        </w:rPr>
        <w:t>Geospatial Information</w:t>
      </w:r>
      <w:r w:rsidR="00953E67" w:rsidRPr="00DE62BF">
        <w:rPr>
          <w:szCs w:val="18"/>
        </w:rPr>
        <w:t xml:space="preserve"> Registry </w:t>
      </w:r>
      <w:r w:rsidR="00953E67" w:rsidRPr="00996CAC">
        <w:rPr>
          <w:szCs w:val="18"/>
        </w:rPr>
        <w:t>(IHO)</w:t>
      </w:r>
    </w:p>
    <w:p w:rsidR="00CF10A9" w:rsidRDefault="00CF10A9" w:rsidP="00E069B6">
      <w:pPr>
        <w:pStyle w:val="Acronym"/>
      </w:pPr>
      <w:r>
        <w:t>IALA</w:t>
      </w:r>
      <w:r>
        <w:tab/>
      </w:r>
      <w:r w:rsidR="00953E67" w:rsidRPr="00996CAC">
        <w:rPr>
          <w:szCs w:val="18"/>
        </w:rPr>
        <w:t>International Association of Marine Aids to Navigation and Lighthouse Authorities - AISM</w:t>
      </w:r>
    </w:p>
    <w:p w:rsidR="00CF10A9" w:rsidRDefault="00CF10A9" w:rsidP="00E069B6">
      <w:pPr>
        <w:pStyle w:val="Acronym"/>
      </w:pPr>
      <w:r>
        <w:t>IHO</w:t>
      </w:r>
      <w:r>
        <w:tab/>
      </w:r>
      <w:r w:rsidR="00953E67" w:rsidRPr="00996CAC">
        <w:rPr>
          <w:szCs w:val="18"/>
        </w:rPr>
        <w:t>International Hydrographic Organization</w:t>
      </w:r>
    </w:p>
    <w:p w:rsidR="006744D8" w:rsidRDefault="006744D8" w:rsidP="00E069B6">
      <w:pPr>
        <w:pStyle w:val="Acronym"/>
      </w:pPr>
      <w:r>
        <w:t>IMO</w:t>
      </w:r>
      <w:r>
        <w:tab/>
        <w:t>International Marit</w:t>
      </w:r>
      <w:r w:rsidR="003C78D0">
        <w:t>ime Organization</w:t>
      </w:r>
    </w:p>
    <w:p w:rsidR="00CF10A9" w:rsidRDefault="00CF10A9" w:rsidP="00E069B6">
      <w:pPr>
        <w:pStyle w:val="Acronym"/>
      </w:pPr>
      <w:r>
        <w:t>SOLAS</w:t>
      </w:r>
      <w:r>
        <w:tab/>
      </w:r>
      <w:r w:rsidR="00953E67" w:rsidRPr="00996CAC">
        <w:rPr>
          <w:szCs w:val="18"/>
        </w:rPr>
        <w:t>International Convention for the Safety of Life at Sea (IMO 1974 as amended)</w:t>
      </w:r>
    </w:p>
    <w:p w:rsidR="00CF10A9" w:rsidRDefault="00CF10A9" w:rsidP="00E069B6">
      <w:pPr>
        <w:pStyle w:val="Acronym"/>
      </w:pPr>
      <w:r>
        <w:t>S-100</w:t>
      </w:r>
      <w:r>
        <w:tab/>
      </w:r>
      <w:r w:rsidR="00953E67" w:rsidRPr="00953E67">
        <w:t>Geospatial Information Registry (IHO)</w:t>
      </w:r>
    </w:p>
    <w:p w:rsidR="00CF10A9" w:rsidRDefault="00CF10A9" w:rsidP="00E069B6">
      <w:pPr>
        <w:pStyle w:val="Acronym"/>
      </w:pPr>
      <w:r>
        <w:t>VPN</w:t>
      </w:r>
      <w:r>
        <w:tab/>
      </w:r>
      <w:r w:rsidRPr="00CF10A9">
        <w:t>Virtual Private Network</w:t>
      </w:r>
    </w:p>
    <w:p w:rsidR="00CF10A9" w:rsidRDefault="00CF10A9" w:rsidP="00E069B6">
      <w:pPr>
        <w:pStyle w:val="Acronym"/>
      </w:pPr>
      <w:r>
        <w:t>VTS</w:t>
      </w:r>
      <w:r>
        <w:tab/>
      </w:r>
      <w:r w:rsidR="00953E67" w:rsidRPr="00996CAC">
        <w:rPr>
          <w:szCs w:val="18"/>
        </w:rPr>
        <w:t>Vessel Traffic Services</w:t>
      </w:r>
    </w:p>
    <w:p w:rsidR="00D32DDF" w:rsidRDefault="00D32DDF" w:rsidP="002C77F4">
      <w:pPr>
        <w:pStyle w:val="Heading1"/>
      </w:pPr>
      <w:bookmarkStart w:id="32" w:name="_Ref477954868"/>
      <w:bookmarkStart w:id="33" w:name="_Toc477959390"/>
      <w:r>
        <w:t>R</w:t>
      </w:r>
      <w:r w:rsidR="0093492E">
        <w:t>EFERENCES</w:t>
      </w:r>
      <w:bookmarkEnd w:id="32"/>
      <w:bookmarkEnd w:id="33"/>
    </w:p>
    <w:p w:rsidR="00D32DDF" w:rsidRDefault="00D32DDF" w:rsidP="00D32DDF">
      <w:pPr>
        <w:pStyle w:val="Heading1separatationline"/>
      </w:pPr>
    </w:p>
    <w:p w:rsidR="00771A44" w:rsidRPr="00771A44" w:rsidRDefault="00771A44" w:rsidP="00771A44">
      <w:pPr>
        <w:pStyle w:val="Reference"/>
      </w:pPr>
      <w:r w:rsidRPr="00771A44">
        <w:t>SOLAS Chapter V, Regulation12 Vessel Traffic Services</w:t>
      </w:r>
    </w:p>
    <w:p w:rsidR="00771A44" w:rsidRPr="00771A44" w:rsidRDefault="00771A44" w:rsidP="00771A44">
      <w:pPr>
        <w:pStyle w:val="Reference"/>
      </w:pPr>
      <w:r w:rsidRPr="00771A44">
        <w:t>IMO Resolution A.857(20) Guideli</w:t>
      </w:r>
      <w:r w:rsidR="00243012">
        <w:t>nes for Vessel Traffic Services</w:t>
      </w:r>
    </w:p>
    <w:p w:rsidR="00771A44" w:rsidRPr="00771A44" w:rsidRDefault="00771A44" w:rsidP="00771A44">
      <w:pPr>
        <w:pStyle w:val="Reference"/>
      </w:pPr>
      <w:r w:rsidRPr="00771A44">
        <w:t>IALA Recommendation V-127 on Operational Procedures for Vessel Traffic Services</w:t>
      </w:r>
    </w:p>
    <w:p w:rsidR="00771A44" w:rsidRPr="00771A44" w:rsidRDefault="00771A44" w:rsidP="00771A44">
      <w:pPr>
        <w:pStyle w:val="Reference"/>
      </w:pPr>
      <w:r w:rsidRPr="00771A44">
        <w:t>IALA Recommendation V-128 on Operational and Technical Performance Requirements for VTS Equipment</w:t>
      </w:r>
    </w:p>
    <w:p w:rsidR="00771A44" w:rsidRPr="00771A44" w:rsidRDefault="00771A44" w:rsidP="00771A44">
      <w:pPr>
        <w:pStyle w:val="Reference"/>
      </w:pPr>
      <w:r w:rsidRPr="00771A44">
        <w:t>IALA Guideline 1086</w:t>
      </w:r>
      <w:r>
        <w:t xml:space="preserve"> on t</w:t>
      </w:r>
      <w:r w:rsidRPr="00771A44">
        <w:t>he Global Sharing of Maritime Data &amp; Information</w:t>
      </w:r>
    </w:p>
    <w:p w:rsidR="00771A44" w:rsidRPr="00771A44" w:rsidRDefault="00771A44" w:rsidP="00771A44">
      <w:pPr>
        <w:pStyle w:val="Reference"/>
      </w:pPr>
      <w:r>
        <w:t>IALA VTS Manual</w:t>
      </w:r>
      <w:r w:rsidR="00DE62BF">
        <w:t xml:space="preserve"> 2016</w:t>
      </w:r>
    </w:p>
    <w:p w:rsidR="00771A44" w:rsidRPr="00771A44" w:rsidRDefault="00771A44" w:rsidP="00771A44">
      <w:pPr>
        <w:pStyle w:val="Reference"/>
      </w:pPr>
      <w:r w:rsidRPr="00771A44">
        <w:t>IALA NAVGUIDE</w:t>
      </w:r>
      <w:r w:rsidR="00DE62BF">
        <w:t xml:space="preserve"> 202</w:t>
      </w:r>
      <w:r w:rsidR="00DE62BF" w:rsidRPr="00DE62BF">
        <w:rPr>
          <w:highlight w:val="yellow"/>
        </w:rPr>
        <w:t>x</w:t>
      </w:r>
    </w:p>
    <w:p w:rsidR="00771A44" w:rsidRPr="00771A44" w:rsidRDefault="00771A44" w:rsidP="00771A44">
      <w:pPr>
        <w:pStyle w:val="Reference"/>
      </w:pPr>
      <w:r w:rsidRPr="00771A44">
        <w:t>IALA Guideline 1018</w:t>
      </w:r>
      <w:r>
        <w:t xml:space="preserve"> on</w:t>
      </w:r>
      <w:r w:rsidRPr="00771A44">
        <w:t xml:space="preserve"> Risk Management</w:t>
      </w:r>
    </w:p>
    <w:p w:rsidR="00DE62BF" w:rsidRPr="00771A44" w:rsidRDefault="00DE62BF" w:rsidP="00DE62BF">
      <w:pPr>
        <w:pStyle w:val="Reference"/>
      </w:pPr>
      <w:bookmarkStart w:id="34" w:name="_Ref466193037"/>
      <w:bookmarkStart w:id="35" w:name="_Ref477962618"/>
      <w:r w:rsidRPr="00771A44">
        <w:t>I</w:t>
      </w:r>
      <w:bookmarkEnd w:id="34"/>
      <w:r>
        <w:t>ALA Guideline 1102 on VTS Interaction with Allied or Other Services</w:t>
      </w:r>
      <w:bookmarkEnd w:id="35"/>
    </w:p>
    <w:p w:rsidR="00DE62BF" w:rsidRPr="00771A44" w:rsidRDefault="00DE62BF" w:rsidP="00DE62BF">
      <w:pPr>
        <w:pStyle w:val="Reference"/>
      </w:pPr>
      <w:r w:rsidRPr="00771A44">
        <w:t>IHO S-100</w:t>
      </w:r>
    </w:p>
    <w:p w:rsidR="006C75E9" w:rsidRDefault="006C75E9">
      <w:pPr>
        <w:spacing w:after="200" w:line="276" w:lineRule="auto"/>
        <w:rPr>
          <w:sz w:val="22"/>
        </w:rPr>
      </w:pPr>
    </w:p>
    <w:sectPr w:rsidR="006C75E9"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rsidR="005F0EAB" w:rsidRDefault="005F0EAB">
      <w:pPr>
        <w:pStyle w:val="CommentText"/>
      </w:pPr>
      <w:r>
        <w:rPr>
          <w:rStyle w:val="CommentReference"/>
        </w:rPr>
        <w:annotationRef/>
      </w:r>
      <w:r>
        <w:t>Insert date approved by Council (Month &amp; Year)</w:t>
      </w:r>
    </w:p>
  </w:comment>
  <w:comment w:id="3" w:author="Michael Hadley" w:date="2016-11-06T11:35:00Z" w:initials="MH">
    <w:p w:rsidR="005F0EAB" w:rsidRDefault="005F0EAB">
      <w:pPr>
        <w:pStyle w:val="CommentText"/>
      </w:pPr>
      <w:r>
        <w:rPr>
          <w:rStyle w:val="CommentReference"/>
        </w:rPr>
        <w:annotationRef/>
      </w:r>
      <w:r>
        <w:t>Delete if no Figures in the final document.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14E" w:rsidRDefault="0071314E" w:rsidP="003274DB">
      <w:r>
        <w:separator/>
      </w:r>
    </w:p>
    <w:p w:rsidR="0071314E" w:rsidRDefault="0071314E"/>
  </w:endnote>
  <w:endnote w:type="continuationSeparator" w:id="0">
    <w:p w:rsidR="0071314E" w:rsidRDefault="0071314E" w:rsidP="003274DB">
      <w:r>
        <w:continuationSeparator/>
      </w:r>
    </w:p>
    <w:p w:rsidR="0071314E" w:rsidRDefault="00713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AC24F4" w:rsidRDefault="005F0EAB"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rsidR="005F0EAB" w:rsidRPr="00AC24F4" w:rsidRDefault="005F0EAB"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rsidR="005F0EAB" w:rsidRPr="004B6107" w:rsidRDefault="005F0EAB" w:rsidP="00C771A7">
    <w:pPr>
      <w:rPr>
        <w:rFonts w:ascii="Avenir Book" w:hAnsi="Avenir Book"/>
        <w:b/>
        <w:color w:val="00558C"/>
        <w:sz w:val="14"/>
        <w:szCs w:val="14"/>
      </w:rPr>
    </w:pPr>
    <w:r w:rsidRPr="004B6107">
      <w:rPr>
        <w:rFonts w:ascii="Avenir Book" w:hAnsi="Avenir Book"/>
        <w:b/>
        <w:color w:val="00558C"/>
        <w:sz w:val="14"/>
        <w:szCs w:val="14"/>
      </w:rPr>
      <w:t>www.iala-aism.org</w:t>
    </w:r>
  </w:p>
  <w:p w:rsidR="005F0EAB" w:rsidRPr="004B6107" w:rsidRDefault="005F0EAB"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5F0EAB" w:rsidRPr="00C771A7" w:rsidRDefault="005F0EAB"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46BBC828" wp14:editId="2CFA7AF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6F764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403266DB" wp14:editId="68A0C2B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2BBC8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5F0EAB" w:rsidRPr="00C907DF" w:rsidRDefault="005F0EA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5F0EAB" w:rsidRPr="00525922" w:rsidRDefault="005F0EA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C716E5" w:rsidRDefault="005F0EAB" w:rsidP="00C716E5">
    <w:pPr>
      <w:pStyle w:val="Footer"/>
      <w:rPr>
        <w:sz w:val="15"/>
        <w:szCs w:val="15"/>
      </w:rPr>
    </w:pPr>
  </w:p>
  <w:p w:rsidR="005F0EAB" w:rsidRDefault="005F0EAB" w:rsidP="00C716E5">
    <w:pPr>
      <w:pStyle w:val="Footerportrait"/>
    </w:pPr>
  </w:p>
  <w:p w:rsidR="005F0EAB" w:rsidRPr="00C907DF" w:rsidRDefault="0071314E" w:rsidP="00C716E5">
    <w:pPr>
      <w:pStyle w:val="Footerportrait"/>
      <w:rPr>
        <w:rStyle w:val="PageNumber"/>
        <w:szCs w:val="15"/>
      </w:rPr>
    </w:pPr>
    <w:fldSimple w:instr=" STYLEREF &quot;Document type&quot; \* MERGEFORMAT ">
      <w:r w:rsidR="00E760B2">
        <w:t>IALA Guideline</w:t>
      </w:r>
    </w:fldSimple>
    <w:r w:rsidR="005F0EAB" w:rsidRPr="00C907DF">
      <w:t xml:space="preserve"> </w:t>
    </w:r>
    <w:fldSimple w:instr=" STYLEREF &quot;Document number&quot; \* MERGEFORMAT ">
      <w:r w:rsidR="00E760B2">
        <w:t>1???</w:t>
      </w:r>
    </w:fldSimple>
    <w:r w:rsidR="005F0EAB" w:rsidRPr="00C907DF">
      <w:t xml:space="preserve"> –</w:t>
    </w:r>
    <w:r w:rsidR="005F0EAB">
      <w:t xml:space="preserve"> </w:t>
    </w:r>
    <w:fldSimple w:instr=" STYLEREF &quot;Document name&quot; \* MERGEFORMAT ">
      <w:r w:rsidR="00E760B2">
        <w:t>Technical Aspects of INFORMATION Exchange Between VTS and Allied or Other Services</w:t>
      </w:r>
    </w:fldSimple>
  </w:p>
  <w:p w:rsidR="005F0EAB" w:rsidRPr="00C907DF" w:rsidRDefault="0071314E" w:rsidP="00C716E5">
    <w:pPr>
      <w:pStyle w:val="Footerportrait"/>
    </w:pPr>
    <w:fldSimple w:instr=" STYLEREF &quot;Edition number&quot; \* MERGEFORMAT ">
      <w:r w:rsidR="00E760B2">
        <w:t>Edition 1.0</w:t>
      </w:r>
    </w:fldSimple>
    <w:r w:rsidR="005F0EAB">
      <w:t xml:space="preserve">  </w:t>
    </w:r>
    <w:fldSimple w:instr=" STYLEREF &quot;Document date&quot; \* MERGEFORMAT ">
      <w:r w:rsidR="00E760B2">
        <w:t>Document date</w:t>
      </w:r>
    </w:fldSimple>
    <w:r w:rsidR="005F0EAB" w:rsidRPr="00C907DF">
      <w:tab/>
    </w:r>
    <w:r w:rsidR="005F0EAB">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E760B2">
      <w:rPr>
        <w:rStyle w:val="PageNumber"/>
        <w:szCs w:val="15"/>
      </w:rPr>
      <w:t>3</w:t>
    </w:r>
    <w:r w:rsidR="005F0EA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C716E5">
    <w:pPr>
      <w:pStyle w:val="Footer"/>
    </w:pPr>
  </w:p>
  <w:p w:rsidR="005F0EAB" w:rsidRDefault="005F0EAB" w:rsidP="00C716E5">
    <w:pPr>
      <w:pStyle w:val="Footerportrait"/>
    </w:pPr>
  </w:p>
  <w:p w:rsidR="005F0EAB" w:rsidRPr="00C907DF" w:rsidRDefault="0071314E" w:rsidP="00C716E5">
    <w:pPr>
      <w:pStyle w:val="Footerportrait"/>
      <w:rPr>
        <w:rStyle w:val="PageNumber"/>
        <w:szCs w:val="15"/>
      </w:rPr>
    </w:pPr>
    <w:fldSimple w:instr=" STYLEREF &quot;Document type&quot; \* MERGEFORMAT ">
      <w:r w:rsidR="00E760B2">
        <w:t>IALA Guideline</w:t>
      </w:r>
    </w:fldSimple>
    <w:r w:rsidR="005F0EAB" w:rsidRPr="00C907DF">
      <w:t xml:space="preserve"> </w:t>
    </w:r>
    <w:fldSimple w:instr=" STYLEREF &quot;Document number&quot; \* MERGEFORMAT ">
      <w:r w:rsidR="00E760B2">
        <w:t>1???</w:t>
      </w:r>
    </w:fldSimple>
    <w:r w:rsidR="005F0EAB" w:rsidRPr="00C907DF">
      <w:t xml:space="preserve"> –</w:t>
    </w:r>
    <w:r w:rsidR="005F0EAB">
      <w:t xml:space="preserve"> </w:t>
    </w:r>
    <w:fldSimple w:instr=" STYLEREF &quot;Document name&quot; \* MERGEFORMAT ">
      <w:r w:rsidR="00E760B2">
        <w:t>Technical Aspects of INFORMATION Exchange Between VTS and Allied or Other Services</w:t>
      </w:r>
    </w:fldSimple>
  </w:p>
  <w:p w:rsidR="005F0EAB" w:rsidRPr="00525922" w:rsidRDefault="0071314E" w:rsidP="00C716E5">
    <w:pPr>
      <w:pStyle w:val="Footerportrait"/>
    </w:pPr>
    <w:fldSimple w:instr=" STYLEREF &quot;Edition number&quot; \* MERGEFORMAT ">
      <w:r w:rsidR="00E760B2">
        <w:t>Edition 1.0</w:t>
      </w:r>
    </w:fldSimple>
    <w:r w:rsidR="005F0EAB" w:rsidRPr="00C907DF">
      <w:tab/>
    </w:r>
    <w:r w:rsidR="005F0EAB">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E760B2">
      <w:rPr>
        <w:rStyle w:val="PageNumber"/>
        <w:szCs w:val="15"/>
      </w:rPr>
      <w:t>4</w:t>
    </w:r>
    <w:r w:rsidR="005F0EA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C716E5">
    <w:pPr>
      <w:pStyle w:val="Footer"/>
    </w:pPr>
  </w:p>
  <w:p w:rsidR="005F0EAB" w:rsidRDefault="005F0EAB" w:rsidP="00C716E5">
    <w:pPr>
      <w:pStyle w:val="Footerportrait"/>
    </w:pPr>
  </w:p>
  <w:p w:rsidR="005F0EAB" w:rsidRPr="00C907DF" w:rsidRDefault="0071314E" w:rsidP="0024175F">
    <w:pPr>
      <w:pStyle w:val="Footerportrait"/>
      <w:tabs>
        <w:tab w:val="clear" w:pos="10206"/>
        <w:tab w:val="right" w:pos="10205"/>
      </w:tabs>
    </w:pPr>
    <w:fldSimple w:instr=" STYLEREF &quot;Document type&quot; \* MERGEFORMAT ">
      <w:r w:rsidR="00E760B2">
        <w:t>IALA Guideline</w:t>
      </w:r>
    </w:fldSimple>
    <w:r w:rsidR="005F0EAB" w:rsidRPr="00C907DF">
      <w:t xml:space="preserve"> </w:t>
    </w:r>
    <w:fldSimple w:instr=" STYLEREF &quot;Document number&quot; \* MERGEFORMAT ">
      <w:r w:rsidR="00E760B2">
        <w:t>1???</w:t>
      </w:r>
    </w:fldSimple>
    <w:r w:rsidR="005F0EAB" w:rsidRPr="00C907DF">
      <w:t xml:space="preserve"> –</w:t>
    </w:r>
    <w:r w:rsidR="005F0EAB">
      <w:t xml:space="preserve"> </w:t>
    </w:r>
    <w:fldSimple w:instr=" STYLEREF &quot;Document name&quot; \* MERGEFORMAT ">
      <w:r w:rsidR="00E760B2">
        <w:t>Technical Aspects of INFORMATION Exchange Between VTS and Allied or Other Services</w:t>
      </w:r>
    </w:fldSimple>
    <w:r w:rsidR="005F0EAB">
      <w:tab/>
    </w:r>
  </w:p>
  <w:p w:rsidR="005F0EAB" w:rsidRPr="00C907DF" w:rsidRDefault="0071314E" w:rsidP="0024175F">
    <w:pPr>
      <w:pStyle w:val="Footerportrait"/>
      <w:tabs>
        <w:tab w:val="clear" w:pos="10206"/>
        <w:tab w:val="right" w:pos="10205"/>
      </w:tabs>
    </w:pPr>
    <w:fldSimple w:instr=" STYLEREF &quot;Edition number&quot; \* MERGEFORMAT ">
      <w:r w:rsidR="00E760B2">
        <w:t>Edition 1.0</w:t>
      </w:r>
    </w:fldSimple>
    <w:r w:rsidR="005F0EAB">
      <w:t xml:space="preserve">  </w:t>
    </w:r>
    <w:fldSimple w:instr=" STYLEREF &quot;Document date&quot; \* MERGEFORMAT ">
      <w:r w:rsidR="00E760B2">
        <w:t>Document date</w:t>
      </w:r>
    </w:fldSimple>
    <w:r w:rsidR="005F0EAB">
      <w:tab/>
    </w:r>
    <w:r w:rsidR="005F0EAB">
      <w:rPr>
        <w:rStyle w:val="PageNumber"/>
        <w:szCs w:val="15"/>
      </w:rPr>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E760B2">
      <w:rPr>
        <w:rStyle w:val="PageNumber"/>
        <w:szCs w:val="15"/>
      </w:rPr>
      <w:t>11</w:t>
    </w:r>
    <w:r w:rsidR="005F0EA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14E" w:rsidRDefault="0071314E" w:rsidP="003274DB">
      <w:r>
        <w:separator/>
      </w:r>
    </w:p>
    <w:p w:rsidR="0071314E" w:rsidRDefault="0071314E"/>
  </w:footnote>
  <w:footnote w:type="continuationSeparator" w:id="0">
    <w:p w:rsidR="0071314E" w:rsidRDefault="0071314E" w:rsidP="003274DB">
      <w:r>
        <w:continuationSeparator/>
      </w:r>
    </w:p>
    <w:p w:rsidR="0071314E" w:rsidRDefault="007131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10775B">
    <w:pPr>
      <w:pStyle w:val="Header"/>
      <w:tabs>
        <w:tab w:val="right" w:pos="9354"/>
      </w:tabs>
    </w:pPr>
    <w:r w:rsidRPr="00442889">
      <w:rPr>
        <w:noProof/>
        <w:lang w:val="nl-NL" w:eastAsia="nl-NL"/>
      </w:rPr>
      <w:drawing>
        <wp:anchor distT="0" distB="0" distL="114300" distR="114300" simplePos="0" relativeHeight="251657214" behindDoc="1" locked="0" layoutInCell="1" allowOverlap="1" wp14:anchorId="4054A98D" wp14:editId="0AF9559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t>VTS4</w:t>
    </w:r>
    <w:r w:rsidR="00E760B2">
      <w:t>4</w:t>
    </w:r>
    <w:r>
      <w:t>-9.3.</w:t>
    </w:r>
    <w:r w:rsidR="00E760B2">
      <w:t>1</w:t>
    </w:r>
    <w:r>
      <w:t xml:space="preserve"> (VTS4</w:t>
    </w:r>
    <w:r w:rsidR="00E760B2">
      <w:t>3</w:t>
    </w:r>
    <w:r>
      <w:t>-12.2.</w:t>
    </w:r>
    <w:r w:rsidR="00E760B2">
      <w:t>3</w:t>
    </w:r>
    <w:r>
      <w:t>)</w:t>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r>
      <w:rPr>
        <w:noProof/>
        <w:lang w:val="nl-NL" w:eastAsia="nl-NL"/>
      </w:rPr>
      <w:drawing>
        <wp:anchor distT="0" distB="0" distL="114300" distR="114300" simplePos="0" relativeHeight="251656189" behindDoc="1" locked="0" layoutInCell="1" allowOverlap="1" wp14:anchorId="64EC7772" wp14:editId="5EAF2D6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Pr="00ED2A8D" w:rsidRDefault="005F0EAB"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pPr>
      <w:pStyle w:val="Header"/>
    </w:pPr>
    <w:r>
      <w:rPr>
        <w:noProof/>
        <w:lang w:val="nl-NL" w:eastAsia="nl-NL"/>
      </w:rPr>
      <w:drawing>
        <wp:anchor distT="0" distB="0" distL="114300" distR="114300" simplePos="0" relativeHeight="251688960" behindDoc="1" locked="0" layoutInCell="1" allowOverlap="1" wp14:anchorId="204C977F" wp14:editId="355CB25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Default="005F0EAB">
    <w:pPr>
      <w:pStyle w:val="Header"/>
    </w:pPr>
  </w:p>
  <w:p w:rsidR="005F0EAB" w:rsidRDefault="005F0E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8747E0">
    <w:pPr>
      <w:pStyle w:val="Header"/>
    </w:pPr>
    <w:r>
      <w:rPr>
        <w:noProof/>
        <w:lang w:val="nl-NL" w:eastAsia="nl-NL"/>
      </w:rPr>
      <w:drawing>
        <wp:anchor distT="0" distB="0" distL="114300" distR="114300" simplePos="0" relativeHeight="251658752" behindDoc="1" locked="0" layoutInCell="1" allowOverlap="1" wp14:anchorId="7A59BFB0" wp14:editId="601BB666">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Pr="00441393" w:rsidRDefault="005F0EAB" w:rsidP="00441393">
    <w:pPr>
      <w:pStyle w:val="Contents"/>
    </w:pPr>
    <w:r>
      <w:t>DOCUMENT REVISION</w:t>
    </w:r>
  </w:p>
  <w:p w:rsidR="005F0EAB" w:rsidRPr="00ED2A8D" w:rsidRDefault="005F0EAB" w:rsidP="008747E0">
    <w:pPr>
      <w:pStyle w:val="Header"/>
    </w:pPr>
  </w:p>
  <w:p w:rsidR="005F0EAB" w:rsidRPr="00AC33A2" w:rsidRDefault="005F0EAB"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8747E0">
    <w:pPr>
      <w:pStyle w:val="Header"/>
    </w:pPr>
    <w:r>
      <w:rPr>
        <w:noProof/>
        <w:lang w:val="nl-NL" w:eastAsia="nl-NL"/>
      </w:rPr>
      <w:drawing>
        <wp:anchor distT="0" distB="0" distL="114300" distR="114300" simplePos="0" relativeHeight="251674624" behindDoc="1" locked="0" layoutInCell="1" allowOverlap="1" wp14:anchorId="223163D0" wp14:editId="5BCEE69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Pr="00441393" w:rsidRDefault="005F0EAB" w:rsidP="00441393">
    <w:pPr>
      <w:pStyle w:val="Contents"/>
    </w:pPr>
    <w:r>
      <w:t>CONTENTS</w:t>
    </w:r>
  </w:p>
  <w:p w:rsidR="005F0EAB" w:rsidRDefault="005F0EAB" w:rsidP="0078486B">
    <w:pPr>
      <w:pStyle w:val="Header"/>
      <w:spacing w:line="140" w:lineRule="exact"/>
    </w:pPr>
  </w:p>
  <w:p w:rsidR="005F0EAB" w:rsidRPr="00AC33A2" w:rsidRDefault="005F0EAB"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C716E5">
    <w:pPr>
      <w:pStyle w:val="Header"/>
    </w:pPr>
    <w:r>
      <w:rPr>
        <w:noProof/>
        <w:lang w:val="nl-NL" w:eastAsia="nl-NL"/>
      </w:rPr>
      <w:drawing>
        <wp:anchor distT="0" distB="0" distL="114300" distR="114300" simplePos="0" relativeHeight="251697152" behindDoc="1" locked="0" layoutInCell="1" allowOverlap="1" wp14:anchorId="2B7152BA" wp14:editId="357F669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C716E5">
    <w:pPr>
      <w:pStyle w:val="Header"/>
    </w:pPr>
  </w:p>
  <w:p w:rsidR="005F0EAB" w:rsidRDefault="005F0EAB" w:rsidP="00C716E5">
    <w:pPr>
      <w:pStyle w:val="Header"/>
    </w:pPr>
  </w:p>
  <w:p w:rsidR="005F0EAB" w:rsidRDefault="005F0EAB" w:rsidP="00C716E5">
    <w:pPr>
      <w:pStyle w:val="Header"/>
    </w:pPr>
  </w:p>
  <w:p w:rsidR="005F0EAB" w:rsidRDefault="005F0EAB" w:rsidP="00C716E5">
    <w:pPr>
      <w:pStyle w:val="Header"/>
    </w:pPr>
  </w:p>
  <w:p w:rsidR="005F0EAB" w:rsidRPr="00441393" w:rsidRDefault="005F0EAB" w:rsidP="00C716E5">
    <w:pPr>
      <w:pStyle w:val="Contents"/>
    </w:pPr>
    <w:r>
      <w:t>CONTENTS</w:t>
    </w:r>
  </w:p>
  <w:p w:rsidR="005F0EAB" w:rsidRPr="00ED2A8D" w:rsidRDefault="005F0EAB" w:rsidP="00C716E5">
    <w:pPr>
      <w:pStyle w:val="Header"/>
    </w:pPr>
  </w:p>
  <w:p w:rsidR="005F0EAB" w:rsidRPr="00AC33A2" w:rsidRDefault="005F0EAB" w:rsidP="00C716E5">
    <w:pPr>
      <w:pStyle w:val="Header"/>
      <w:spacing w:line="140" w:lineRule="exact"/>
    </w:pPr>
  </w:p>
  <w:p w:rsidR="005F0EAB" w:rsidRDefault="005F0EAB">
    <w:pPr>
      <w:pStyle w:val="Header"/>
    </w:pPr>
    <w:r>
      <w:rPr>
        <w:noProof/>
        <w:lang w:val="nl-NL" w:eastAsia="nl-NL"/>
      </w:rPr>
      <w:drawing>
        <wp:anchor distT="0" distB="0" distL="114300" distR="114300" simplePos="0" relativeHeight="251695104" behindDoc="1" locked="0" layoutInCell="1" allowOverlap="1" wp14:anchorId="738E769B" wp14:editId="3B68FF6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667792" w:rsidRDefault="005F0EAB" w:rsidP="00667792">
    <w:pPr>
      <w:pStyle w:val="Header"/>
    </w:pPr>
    <w:r>
      <w:rPr>
        <w:noProof/>
        <w:lang w:val="nl-NL" w:eastAsia="nl-NL"/>
      </w:rPr>
      <w:drawing>
        <wp:anchor distT="0" distB="0" distL="114300" distR="114300" simplePos="0" relativeHeight="251678720" behindDoc="1" locked="0" layoutInCell="1" allowOverlap="1" wp14:anchorId="461B3696" wp14:editId="1D09F15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CA96F9B"/>
    <w:multiLevelType w:val="multilevel"/>
    <w:tmpl w:val="F6C2F4A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560DD4"/>
    <w:multiLevelType w:val="hybridMultilevel"/>
    <w:tmpl w:val="62A01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0740CB3"/>
    <w:multiLevelType w:val="hybridMultilevel"/>
    <w:tmpl w:val="B120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6452D3C"/>
    <w:multiLevelType w:val="hybridMultilevel"/>
    <w:tmpl w:val="2E26E0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25B50E5"/>
    <w:multiLevelType w:val="hybridMultilevel"/>
    <w:tmpl w:val="705C172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46C5276E"/>
    <w:multiLevelType w:val="hybridMultilevel"/>
    <w:tmpl w:val="B3DA5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81A4288"/>
    <w:multiLevelType w:val="hybridMultilevel"/>
    <w:tmpl w:val="28F22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F1C7682"/>
    <w:multiLevelType w:val="hybridMultilevel"/>
    <w:tmpl w:val="3D50B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CF75A8"/>
    <w:multiLevelType w:val="hybridMultilevel"/>
    <w:tmpl w:val="E084C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5CE658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8807E6"/>
    <w:multiLevelType w:val="hybridMultilevel"/>
    <w:tmpl w:val="54B8A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43"/>
  </w:num>
  <w:num w:numId="3">
    <w:abstractNumId w:val="7"/>
  </w:num>
  <w:num w:numId="4">
    <w:abstractNumId w:val="25"/>
  </w:num>
  <w:num w:numId="5">
    <w:abstractNumId w:val="20"/>
  </w:num>
  <w:num w:numId="6">
    <w:abstractNumId w:val="18"/>
  </w:num>
  <w:num w:numId="7">
    <w:abstractNumId w:val="28"/>
  </w:num>
  <w:num w:numId="8">
    <w:abstractNumId w:val="6"/>
  </w:num>
  <w:num w:numId="9">
    <w:abstractNumId w:val="17"/>
  </w:num>
  <w:num w:numId="10">
    <w:abstractNumId w:val="21"/>
  </w:num>
  <w:num w:numId="11">
    <w:abstractNumId w:val="3"/>
  </w:num>
  <w:num w:numId="12">
    <w:abstractNumId w:val="30"/>
  </w:num>
  <w:num w:numId="13">
    <w:abstractNumId w:val="0"/>
  </w:num>
  <w:num w:numId="14">
    <w:abstractNumId w:val="40"/>
  </w:num>
  <w:num w:numId="15">
    <w:abstractNumId w:val="14"/>
  </w:num>
  <w:num w:numId="16">
    <w:abstractNumId w:val="12"/>
  </w:num>
  <w:num w:numId="17">
    <w:abstractNumId w:val="27"/>
  </w:num>
  <w:num w:numId="18">
    <w:abstractNumId w:val="2"/>
  </w:num>
  <w:num w:numId="19">
    <w:abstractNumId w:val="11"/>
  </w:num>
  <w:num w:numId="20">
    <w:abstractNumId w:val="36"/>
  </w:num>
  <w:num w:numId="21">
    <w:abstractNumId w:val="10"/>
  </w:num>
  <w:num w:numId="22">
    <w:abstractNumId w:val="42"/>
  </w:num>
  <w:num w:numId="23">
    <w:abstractNumId w:val="1"/>
  </w:num>
  <w:num w:numId="24">
    <w:abstractNumId w:val="23"/>
  </w:num>
  <w:num w:numId="25">
    <w:abstractNumId w:val="19"/>
  </w:num>
  <w:num w:numId="26">
    <w:abstractNumId w:val="35"/>
  </w:num>
  <w:num w:numId="27">
    <w:abstractNumId w:val="37"/>
  </w:num>
  <w:num w:numId="28">
    <w:abstractNumId w:val="4"/>
  </w:num>
  <w:num w:numId="29">
    <w:abstractNumId w:val="31"/>
  </w:num>
  <w:num w:numId="30">
    <w:abstractNumId w:val="26"/>
  </w:num>
  <w:num w:numId="31">
    <w:abstractNumId w:val="15"/>
  </w:num>
  <w:num w:numId="32">
    <w:abstractNumId w:val="8"/>
  </w:num>
  <w:num w:numId="33">
    <w:abstractNumId w:val="41"/>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9"/>
  </w:num>
  <w:num w:numId="38">
    <w:abstractNumId w:val="24"/>
  </w:num>
  <w:num w:numId="39">
    <w:abstractNumId w:val="41"/>
    <w:lvlOverride w:ilvl="0">
      <w:lvl w:ilvl="0">
        <w:start w:val="1"/>
        <w:numFmt w:val="decimal"/>
        <w:lvlText w:val="%1"/>
        <w:lvlJc w:val="left"/>
        <w:pPr>
          <w:tabs>
            <w:tab w:val="num" w:pos="0"/>
          </w:tabs>
          <w:ind w:left="567" w:hanging="567"/>
        </w:pPr>
        <w:rPr>
          <w:rFonts w:asciiTheme="minorHAnsi" w:hAnsiTheme="minorHAnsi" w:hint="default"/>
          <w:b w:val="0"/>
          <w:i w:val="0"/>
          <w:sz w:val="22"/>
        </w:rPr>
      </w:lvl>
    </w:lvlOverride>
    <w:lvlOverride w:ilvl="1">
      <w:lvl w:ilvl="1">
        <w:start w:val="1"/>
        <w:numFmt w:val="lowerLetter"/>
        <w:lvlText w:val="%2"/>
        <w:lvlJc w:val="left"/>
        <w:pPr>
          <w:tabs>
            <w:tab w:val="num" w:pos="0"/>
          </w:tabs>
          <w:ind w:left="1134" w:hanging="567"/>
        </w:pPr>
        <w:rPr>
          <w:rFonts w:asciiTheme="minorHAnsi" w:hAnsiTheme="minorHAnsi" w:hint="default"/>
          <w:b w:val="0"/>
          <w:i w:val="0"/>
          <w:sz w:val="22"/>
        </w:rPr>
      </w:lvl>
    </w:lvlOverride>
    <w:lvlOverride w:ilvl="2">
      <w:lvl w:ilvl="2">
        <w:start w:val="1"/>
        <w:numFmt w:val="lowerRoman"/>
        <w:lvlText w:val="%3"/>
        <w:lvlJc w:val="left"/>
        <w:pPr>
          <w:ind w:left="567" w:firstLine="567"/>
        </w:pPr>
        <w:rPr>
          <w:rFonts w:asciiTheme="minorHAnsi" w:hAnsiTheme="minorHAnsi" w:hint="default"/>
          <w:b w:val="0"/>
          <w:i w:val="0"/>
          <w:sz w:val="2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39"/>
  </w:num>
  <w:num w:numId="45">
    <w:abstractNumId w:val="32"/>
  </w:num>
  <w:num w:numId="46">
    <w:abstractNumId w:val="9"/>
  </w:num>
  <w:num w:numId="47">
    <w:abstractNumId w:val="44"/>
  </w:num>
  <w:num w:numId="48">
    <w:abstractNumId w:val="33"/>
  </w:num>
  <w:num w:numId="49">
    <w:abstractNumId w:val="38"/>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79A7"/>
    <w:rsid w:val="00040EB8"/>
    <w:rsid w:val="000439A4"/>
    <w:rsid w:val="00044293"/>
    <w:rsid w:val="000472F8"/>
    <w:rsid w:val="00047601"/>
    <w:rsid w:val="0005449E"/>
    <w:rsid w:val="0005574F"/>
    <w:rsid w:val="00057699"/>
    <w:rsid w:val="00057B6D"/>
    <w:rsid w:val="00061A7B"/>
    <w:rsid w:val="0007553D"/>
    <w:rsid w:val="0008654C"/>
    <w:rsid w:val="000904ED"/>
    <w:rsid w:val="00091545"/>
    <w:rsid w:val="00095560"/>
    <w:rsid w:val="00095B7F"/>
    <w:rsid w:val="000A27A8"/>
    <w:rsid w:val="000B2356"/>
    <w:rsid w:val="000C711B"/>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4427"/>
    <w:rsid w:val="00184C2E"/>
    <w:rsid w:val="001875B1"/>
    <w:rsid w:val="00187E64"/>
    <w:rsid w:val="001B2A35"/>
    <w:rsid w:val="001B339A"/>
    <w:rsid w:val="001C650B"/>
    <w:rsid w:val="001C72B5"/>
    <w:rsid w:val="001D02D9"/>
    <w:rsid w:val="001D2E7A"/>
    <w:rsid w:val="001D3992"/>
    <w:rsid w:val="001D4A3E"/>
    <w:rsid w:val="001E165A"/>
    <w:rsid w:val="001E213F"/>
    <w:rsid w:val="001E416D"/>
    <w:rsid w:val="001F4EF8"/>
    <w:rsid w:val="001F5AB1"/>
    <w:rsid w:val="00201337"/>
    <w:rsid w:val="002022EA"/>
    <w:rsid w:val="002044CC"/>
    <w:rsid w:val="002044E9"/>
    <w:rsid w:val="00205B17"/>
    <w:rsid w:val="00205D9B"/>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95352"/>
    <w:rsid w:val="0029793F"/>
    <w:rsid w:val="002A1C42"/>
    <w:rsid w:val="002A617C"/>
    <w:rsid w:val="002A71CF"/>
    <w:rsid w:val="002B3E9D"/>
    <w:rsid w:val="002C77F4"/>
    <w:rsid w:val="002D0869"/>
    <w:rsid w:val="002D19B6"/>
    <w:rsid w:val="002D78FE"/>
    <w:rsid w:val="002E4993"/>
    <w:rsid w:val="002E5BAC"/>
    <w:rsid w:val="002E7635"/>
    <w:rsid w:val="002F107A"/>
    <w:rsid w:val="002F265A"/>
    <w:rsid w:val="002F42A9"/>
    <w:rsid w:val="0030413F"/>
    <w:rsid w:val="00305EFE"/>
    <w:rsid w:val="00313B4B"/>
    <w:rsid w:val="00313D85"/>
    <w:rsid w:val="00315CE3"/>
    <w:rsid w:val="0031629B"/>
    <w:rsid w:val="003251FE"/>
    <w:rsid w:val="003274DB"/>
    <w:rsid w:val="00327FBF"/>
    <w:rsid w:val="00332A7B"/>
    <w:rsid w:val="003343E0"/>
    <w:rsid w:val="00335E40"/>
    <w:rsid w:val="00336B2C"/>
    <w:rsid w:val="00344408"/>
    <w:rsid w:val="00345E37"/>
    <w:rsid w:val="00347F3E"/>
    <w:rsid w:val="003621C3"/>
    <w:rsid w:val="0036382D"/>
    <w:rsid w:val="00380350"/>
    <w:rsid w:val="00380B4E"/>
    <w:rsid w:val="003816E4"/>
    <w:rsid w:val="00384075"/>
    <w:rsid w:val="0039131E"/>
    <w:rsid w:val="003954A1"/>
    <w:rsid w:val="003A04A6"/>
    <w:rsid w:val="003A1A56"/>
    <w:rsid w:val="003A7759"/>
    <w:rsid w:val="003A7F6E"/>
    <w:rsid w:val="003B03EA"/>
    <w:rsid w:val="003C78D0"/>
    <w:rsid w:val="003C7C34"/>
    <w:rsid w:val="003D0F37"/>
    <w:rsid w:val="003D5150"/>
    <w:rsid w:val="003F1901"/>
    <w:rsid w:val="003F1C3A"/>
    <w:rsid w:val="0041086B"/>
    <w:rsid w:val="00414698"/>
    <w:rsid w:val="00417558"/>
    <w:rsid w:val="0042565E"/>
    <w:rsid w:val="00432C05"/>
    <w:rsid w:val="00440379"/>
    <w:rsid w:val="00441393"/>
    <w:rsid w:val="00447CF0"/>
    <w:rsid w:val="00456F10"/>
    <w:rsid w:val="0046334B"/>
    <w:rsid w:val="00466071"/>
    <w:rsid w:val="00474746"/>
    <w:rsid w:val="00476942"/>
    <w:rsid w:val="00476ADF"/>
    <w:rsid w:val="00477D62"/>
    <w:rsid w:val="004871A2"/>
    <w:rsid w:val="00492A8D"/>
    <w:rsid w:val="004944C8"/>
    <w:rsid w:val="004A0EBF"/>
    <w:rsid w:val="004A1C29"/>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408F"/>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18E8"/>
    <w:rsid w:val="00622698"/>
    <w:rsid w:val="00634318"/>
    <w:rsid w:val="00634A78"/>
    <w:rsid w:val="00642025"/>
    <w:rsid w:val="00646E87"/>
    <w:rsid w:val="0065107F"/>
    <w:rsid w:val="00661445"/>
    <w:rsid w:val="00661946"/>
    <w:rsid w:val="00663F0B"/>
    <w:rsid w:val="00664BC4"/>
    <w:rsid w:val="00666061"/>
    <w:rsid w:val="00667424"/>
    <w:rsid w:val="00667792"/>
    <w:rsid w:val="0067154B"/>
    <w:rsid w:val="00671677"/>
    <w:rsid w:val="006744D8"/>
    <w:rsid w:val="006750F2"/>
    <w:rsid w:val="006752D6"/>
    <w:rsid w:val="00675E02"/>
    <w:rsid w:val="006802D8"/>
    <w:rsid w:val="0068553C"/>
    <w:rsid w:val="00685F34"/>
    <w:rsid w:val="006872E8"/>
    <w:rsid w:val="00695656"/>
    <w:rsid w:val="006975A8"/>
    <w:rsid w:val="006A1012"/>
    <w:rsid w:val="006A40AF"/>
    <w:rsid w:val="006C1376"/>
    <w:rsid w:val="006C48F9"/>
    <w:rsid w:val="006C68DA"/>
    <w:rsid w:val="006C75E9"/>
    <w:rsid w:val="006D5F1A"/>
    <w:rsid w:val="006E0E7D"/>
    <w:rsid w:val="006E10BF"/>
    <w:rsid w:val="006E26A7"/>
    <w:rsid w:val="006E2BEC"/>
    <w:rsid w:val="006F1C14"/>
    <w:rsid w:val="006F6A16"/>
    <w:rsid w:val="007020A7"/>
    <w:rsid w:val="00703A6A"/>
    <w:rsid w:val="00705747"/>
    <w:rsid w:val="0071314E"/>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7544"/>
    <w:rsid w:val="00800995"/>
    <w:rsid w:val="00816F79"/>
    <w:rsid w:val="008172F8"/>
    <w:rsid w:val="008326B2"/>
    <w:rsid w:val="00837DBD"/>
    <w:rsid w:val="00846831"/>
    <w:rsid w:val="00851F87"/>
    <w:rsid w:val="00862539"/>
    <w:rsid w:val="00865532"/>
    <w:rsid w:val="00865E49"/>
    <w:rsid w:val="00866E98"/>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C79B4"/>
    <w:rsid w:val="008D29F3"/>
    <w:rsid w:val="008E1F69"/>
    <w:rsid w:val="008E76B1"/>
    <w:rsid w:val="008F38BB"/>
    <w:rsid w:val="008F57D8"/>
    <w:rsid w:val="00902834"/>
    <w:rsid w:val="009115DD"/>
    <w:rsid w:val="00912674"/>
    <w:rsid w:val="00914330"/>
    <w:rsid w:val="00914E26"/>
    <w:rsid w:val="0091590F"/>
    <w:rsid w:val="00923B4D"/>
    <w:rsid w:val="00923DA0"/>
    <w:rsid w:val="00924B2B"/>
    <w:rsid w:val="0092540C"/>
    <w:rsid w:val="00925E0F"/>
    <w:rsid w:val="00931A57"/>
    <w:rsid w:val="0093492E"/>
    <w:rsid w:val="009414E6"/>
    <w:rsid w:val="00953E67"/>
    <w:rsid w:val="0095450F"/>
    <w:rsid w:val="00956901"/>
    <w:rsid w:val="00962EC1"/>
    <w:rsid w:val="0097088A"/>
    <w:rsid w:val="00971591"/>
    <w:rsid w:val="00974564"/>
    <w:rsid w:val="00974E99"/>
    <w:rsid w:val="009764FA"/>
    <w:rsid w:val="00980192"/>
    <w:rsid w:val="00982A22"/>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4004"/>
    <w:rsid w:val="00A06A3D"/>
    <w:rsid w:val="00A10EBA"/>
    <w:rsid w:val="00A13E56"/>
    <w:rsid w:val="00A14644"/>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D7A"/>
    <w:rsid w:val="00AA3E01"/>
    <w:rsid w:val="00AB0BFA"/>
    <w:rsid w:val="00AB4A37"/>
    <w:rsid w:val="00AB60E3"/>
    <w:rsid w:val="00AB76B7"/>
    <w:rsid w:val="00AC33A2"/>
    <w:rsid w:val="00AD19EA"/>
    <w:rsid w:val="00AD38F7"/>
    <w:rsid w:val="00AE65F1"/>
    <w:rsid w:val="00AE6BB4"/>
    <w:rsid w:val="00AE74AD"/>
    <w:rsid w:val="00AF159C"/>
    <w:rsid w:val="00B01873"/>
    <w:rsid w:val="00B036AF"/>
    <w:rsid w:val="00B074AB"/>
    <w:rsid w:val="00B07717"/>
    <w:rsid w:val="00B10521"/>
    <w:rsid w:val="00B17253"/>
    <w:rsid w:val="00B17D23"/>
    <w:rsid w:val="00B20C72"/>
    <w:rsid w:val="00B2583D"/>
    <w:rsid w:val="00B31A41"/>
    <w:rsid w:val="00B3287F"/>
    <w:rsid w:val="00B3400D"/>
    <w:rsid w:val="00B352AA"/>
    <w:rsid w:val="00B37882"/>
    <w:rsid w:val="00B40199"/>
    <w:rsid w:val="00B502FF"/>
    <w:rsid w:val="00B528D3"/>
    <w:rsid w:val="00B643DF"/>
    <w:rsid w:val="00B65300"/>
    <w:rsid w:val="00B67422"/>
    <w:rsid w:val="00B67A4C"/>
    <w:rsid w:val="00B70BD4"/>
    <w:rsid w:val="00B712CA"/>
    <w:rsid w:val="00B73463"/>
    <w:rsid w:val="00B81480"/>
    <w:rsid w:val="00B90123"/>
    <w:rsid w:val="00B9016D"/>
    <w:rsid w:val="00BA009E"/>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BF58B4"/>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5924"/>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5D31"/>
    <w:rsid w:val="00CB7460"/>
    <w:rsid w:val="00CC35EF"/>
    <w:rsid w:val="00CC5048"/>
    <w:rsid w:val="00CC6246"/>
    <w:rsid w:val="00CE5860"/>
    <w:rsid w:val="00CE5E46"/>
    <w:rsid w:val="00CF10A9"/>
    <w:rsid w:val="00CF49CC"/>
    <w:rsid w:val="00CF54C2"/>
    <w:rsid w:val="00D04F0B"/>
    <w:rsid w:val="00D1463A"/>
    <w:rsid w:val="00D16644"/>
    <w:rsid w:val="00D235D9"/>
    <w:rsid w:val="00D24632"/>
    <w:rsid w:val="00D252C9"/>
    <w:rsid w:val="00D32DDF"/>
    <w:rsid w:val="00D3700C"/>
    <w:rsid w:val="00D4573B"/>
    <w:rsid w:val="00D54C18"/>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C4FA1"/>
    <w:rsid w:val="00DD1DF5"/>
    <w:rsid w:val="00DD60F2"/>
    <w:rsid w:val="00DE0893"/>
    <w:rsid w:val="00DE2814"/>
    <w:rsid w:val="00DE62BF"/>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760B2"/>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07BF"/>
    <w:rsid w:val="00F2562C"/>
    <w:rsid w:val="00F259E2"/>
    <w:rsid w:val="00F36BAB"/>
    <w:rsid w:val="00F41AAF"/>
    <w:rsid w:val="00F41F0B"/>
    <w:rsid w:val="00F44767"/>
    <w:rsid w:val="00F527AC"/>
    <w:rsid w:val="00F5503F"/>
    <w:rsid w:val="00F61D83"/>
    <w:rsid w:val="00F65DD1"/>
    <w:rsid w:val="00F707B3"/>
    <w:rsid w:val="00F71135"/>
    <w:rsid w:val="00F74309"/>
    <w:rsid w:val="00F743B8"/>
    <w:rsid w:val="00F7793E"/>
    <w:rsid w:val="00F82C35"/>
    <w:rsid w:val="00F90461"/>
    <w:rsid w:val="00F9140C"/>
    <w:rsid w:val="00FA370D"/>
    <w:rsid w:val="00FA66F1"/>
    <w:rsid w:val="00FA777D"/>
    <w:rsid w:val="00FC06AF"/>
    <w:rsid w:val="00FC378B"/>
    <w:rsid w:val="00FC3977"/>
    <w:rsid w:val="00FC54D7"/>
    <w:rsid w:val="00FC6BCE"/>
    <w:rsid w:val="00FD2566"/>
    <w:rsid w:val="00FD2F16"/>
    <w:rsid w:val="00FD3143"/>
    <w:rsid w:val="00FD6065"/>
    <w:rsid w:val="00FE1D34"/>
    <w:rsid w:val="00FE244F"/>
    <w:rsid w:val="00FE2A6F"/>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uiPriority="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1"/>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uiPriority="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1"/>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E144F-52AA-4CEB-9D15-B59CA6633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2132</Words>
  <Characters>11729</Characters>
  <Application>Microsoft Office Word</Application>
  <DocSecurity>0</DocSecurity>
  <Lines>97</Lines>
  <Paragraphs>27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13834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3</cp:revision>
  <cp:lastPrinted>2016-10-18T10:16:00Z</cp:lastPrinted>
  <dcterms:created xsi:type="dcterms:W3CDTF">2017-03-22T15:24:00Z</dcterms:created>
  <dcterms:modified xsi:type="dcterms:W3CDTF">2017-07-11T10:08:00Z</dcterms:modified>
</cp:coreProperties>
</file>